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0"/>
        <w:framePr/>
      </w:pPr>
      <w:r>
        <w:rPr>
          <w:rFonts w:ascii="Times New Roman"/>
        </w:rPr>
        <w:t>ICS</w:t>
      </w:r>
      <w:r>
        <w:rPr>
          <w:rFonts w:hint="eastAsia" w:ascii="MS Mincho" w:hAnsi="MS Mincho" w:eastAsia="MS Mincho" w:cs="MS Mincho"/>
        </w:rPr>
        <w:t> </w:t>
      </w:r>
      <w:bookmarkStart w:id="0" w:name="ICS"/>
      <w:r>
        <w:fldChar w:fldCharType="begin">
          <w:ffData>
            <w:name w:val="ICS"/>
            <w:enabled/>
            <w:calcOnExit w:val="0"/>
            <w:helpText w:type="text" w:val="请输入正确的ICS号："/>
            <w:textInput>
              <w:default w:val="点击此处添加ICS号"/>
            </w:textInput>
          </w:ffData>
        </w:fldChar>
      </w:r>
      <w:r>
        <w:instrText xml:space="preserve"> FORMTEXT </w:instrText>
      </w:r>
      <w:r>
        <w:fldChar w:fldCharType="separate"/>
      </w:r>
      <w:r>
        <w:t>     </w:t>
      </w:r>
      <w:r>
        <w:fldChar w:fldCharType="end"/>
      </w:r>
      <w:bookmarkEnd w:id="0"/>
    </w:p>
    <w:p>
      <w:pPr>
        <w:pStyle w:val="120"/>
        <w:framePr/>
      </w:pPr>
      <w:bookmarkStart w:id="1" w:name="WXFLH"/>
      <w:r>
        <w:fldChar w:fldCharType="begin">
          <w:ffData>
            <w:name w:val="WXFLH"/>
            <w:enabled/>
            <w:calcOnExit w:val="0"/>
            <w:helpText w:type="text" w:val="请输入中国标准文献分类号："/>
            <w:textInput>
              <w:default w:val="点击此处添加中国标准文献分类号"/>
            </w:textInput>
          </w:ffData>
        </w:fldChar>
      </w:r>
      <w:r>
        <w:instrText xml:space="preserve"> FORMTEXT </w:instrText>
      </w:r>
      <w:r>
        <w:fldChar w:fldCharType="separate"/>
      </w:r>
      <w:r>
        <w:rPr>
          <w:rFonts w:hint="eastAsia"/>
        </w:rPr>
        <w:t>点击此处添加中国标准文献分类号</w:t>
      </w:r>
      <w:r>
        <w:fldChar w:fldCharType="end"/>
      </w:r>
      <w:bookmarkEnd w:id="1"/>
    </w:p>
    <w:tbl>
      <w:tblPr>
        <w:tblStyle w:val="2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tcPr>
          <w:p>
            <w:pPr>
              <w:pStyle w:val="120"/>
              <w:framePr/>
            </w:pPr>
            <w:r>
              <w:pict>
                <v:rect id="BAH" o:spid="_x0000_s1026" o:spt="1" style="position:absolute;left:0pt;margin-left:-5.25pt;margin-top:0pt;height:15.6pt;width:68.25pt;z-index:-251654144;mso-width-relative:page;mso-height-relative:page;"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yK4v7NUA&#10;AAAHAQAADwAAAAAAAAABACAAAAAiAAAAZHJzL2Rvd25yZXYueG1sUEsBAhQAFAAAAAgAh07iQLEz&#10;6MywAQAAZwMAAA4AAAAAAAAAAQAgAAAAJAEAAGRycy9lMm9Eb2MueG1sUEsFBgAAAAAGAAYAWQEA&#10;AEYFAAAAAA==&#10;">
                  <v:path/>
                  <v:fill focussize="0,0"/>
                  <v:stroke on="f"/>
                  <v:imagedata o:title=""/>
                  <o:lock v:ext="edit"/>
                </v:rect>
              </w:pict>
            </w:r>
            <w:r>
              <w:fldChar w:fldCharType="begin">
                <w:ffData>
                  <w:name w:val="BAH"/>
                  <w:enabled/>
                  <w:calcOnExit w:val="0"/>
                  <w:textInput/>
                </w:ffData>
              </w:fldChar>
            </w:r>
            <w:bookmarkStart w:id="2" w:name="BAH"/>
            <w:r>
              <w:instrText xml:space="preserve"> FORMTEXT </w:instrText>
            </w:r>
            <w:r>
              <w:fldChar w:fldCharType="separate"/>
            </w:r>
            <w:r>
              <w:t>     </w:t>
            </w:r>
            <w:r>
              <w:fldChar w:fldCharType="end"/>
            </w:r>
            <w:bookmarkEnd w:id="2"/>
          </w:p>
        </w:tc>
      </w:tr>
    </w:tbl>
    <w:p>
      <w:pPr>
        <w:pStyle w:val="106"/>
        <w:framePr/>
      </w:pPr>
      <w:r>
        <w:t>D</w:t>
      </w:r>
      <w:r>
        <w:rPr>
          <w:spacing w:val="100"/>
        </w:rPr>
        <w:t>B</w:t>
      </w:r>
      <w:bookmarkStart w:id="3" w:name="c3"/>
      <w:r>
        <w:fldChar w:fldCharType="begin">
          <w:ffData>
            <w:name w:val="c3"/>
            <w:enabled/>
            <w:calcOnExit w:val="0"/>
            <w:entryMacro w:val="ShowHelp16"/>
            <w:textInput/>
          </w:ffData>
        </w:fldChar>
      </w:r>
      <w:r>
        <w:instrText xml:space="preserve"> FORMTEXT </w:instrText>
      </w:r>
      <w:r>
        <w:fldChar w:fldCharType="separate"/>
      </w:r>
      <w:r>
        <w:rPr>
          <w:rFonts w:hint="eastAsia"/>
        </w:rPr>
        <w:t>14</w:t>
      </w:r>
      <w:r>
        <w:fldChar w:fldCharType="end"/>
      </w:r>
      <w:bookmarkEnd w:id="3"/>
    </w:p>
    <w:p>
      <w:pPr>
        <w:pStyle w:val="107"/>
        <w:framePr/>
      </w:pPr>
      <w:bookmarkStart w:id="4" w:name="c4"/>
      <w:r>
        <w:fldChar w:fldCharType="begin">
          <w:ffData>
            <w:name w:val="c4"/>
            <w:enabled/>
            <w:calcOnExit w:val="0"/>
            <w:entryMacro w:val="showhelp12"/>
            <w:textInput/>
          </w:ffData>
        </w:fldChar>
      </w:r>
      <w:r>
        <w:instrText xml:space="preserve"> FORMTEXT </w:instrText>
      </w:r>
      <w:r>
        <w:fldChar w:fldCharType="separate"/>
      </w:r>
      <w:r>
        <w:rPr>
          <w:rFonts w:hint="eastAsia"/>
        </w:rPr>
        <w:t>山西省</w:t>
      </w:r>
      <w:r>
        <w:fldChar w:fldCharType="end"/>
      </w:r>
      <w:bookmarkEnd w:id="4"/>
      <w:r>
        <w:t>地方标准</w:t>
      </w:r>
    </w:p>
    <w:p>
      <w:pPr>
        <w:pStyle w:val="44"/>
        <w:framePr/>
        <w:rPr>
          <w:rFonts w:hAnsi="黑体"/>
        </w:rPr>
      </w:pPr>
      <w:r>
        <w:rPr>
          <w:rFonts w:ascii="Times New Roman"/>
        </w:rPr>
        <w:t xml:space="preserve">DB </w:t>
      </w:r>
      <w:bookmarkStart w:id="5" w:name="StdNo0"/>
      <w:r>
        <w:rPr>
          <w:rFonts w:hAnsi="黑体"/>
        </w:rPr>
        <w:fldChar w:fldCharType="begin">
          <w:ffData>
            <w:name w:val="StdNo0"/>
            <w:enabled/>
            <w:calcOnExit w:val="0"/>
            <w:textInput>
              <w:default w:val="××/T"/>
            </w:textInput>
          </w:ffData>
        </w:fldChar>
      </w:r>
      <w:r>
        <w:rPr>
          <w:rFonts w:hAnsi="黑体"/>
        </w:rPr>
        <w:instrText xml:space="preserve"> FORMTEXT </w:instrText>
      </w:r>
      <w:r>
        <w:rPr>
          <w:rFonts w:hAnsi="黑体"/>
        </w:rPr>
        <w:fldChar w:fldCharType="separate"/>
      </w:r>
      <w:r>
        <w:rPr>
          <w:rFonts w:hAnsi="黑体"/>
        </w:rPr>
        <w:t>14</w:t>
      </w:r>
      <w:r>
        <w:rPr>
          <w:rFonts w:ascii="Times New Roman"/>
        </w:rPr>
        <w:t>/T</w:t>
      </w:r>
      <w:r>
        <w:rPr>
          <w:rFonts w:hAnsi="黑体"/>
        </w:rPr>
        <w:fldChar w:fldCharType="end"/>
      </w:r>
      <w:bookmarkEnd w:id="5"/>
      <w:r>
        <w:rPr>
          <w:rFonts w:hAnsi="黑体"/>
        </w:rPr>
        <w:t xml:space="preserve"> </w:t>
      </w:r>
      <w:bookmarkStart w:id="6" w:name="StdNo1"/>
      <w:r>
        <w:rPr>
          <w:rFonts w:hAnsi="黑体"/>
        </w:rPr>
        <w:fldChar w:fldCharType="begin">
          <w:ffData>
            <w:name w:val="StdNo1"/>
            <w:enabled/>
            <w:calcOnExit w:val="0"/>
            <w:textInput>
              <w:default w:val="××××"/>
            </w:textInput>
          </w:ffData>
        </w:fldChar>
      </w:r>
      <w:r>
        <w:rPr>
          <w:rFonts w:hAnsi="黑体"/>
        </w:rPr>
        <w:instrText xml:space="preserve"> FORMTEXT </w:instrText>
      </w:r>
      <w:r>
        <w:rPr>
          <w:rFonts w:hAnsi="黑体"/>
        </w:rPr>
        <w:fldChar w:fldCharType="separate"/>
      </w:r>
      <w:r>
        <w:rPr>
          <w:rFonts w:hAnsi="黑体"/>
        </w:rPr>
        <w:t>××××</w:t>
      </w:r>
      <w:r>
        <w:rPr>
          <w:rFonts w:hAnsi="黑体"/>
        </w:rPr>
        <w:fldChar w:fldCharType="end"/>
      </w:r>
      <w:bookmarkEnd w:id="6"/>
      <w:r>
        <w:rPr>
          <w:rFonts w:hAnsi="黑体"/>
        </w:rPr>
        <w:t>—</w:t>
      </w:r>
      <w:bookmarkStart w:id="7" w:name="StdNo2"/>
      <w:r>
        <w:rPr>
          <w:rFonts w:hAnsi="黑体"/>
        </w:rPr>
        <w:fldChar w:fldCharType="begin">
          <w:ffData>
            <w:name w:val="StdNo2"/>
            <w:enabled/>
            <w:calcOnExit w:val="0"/>
            <w:textInput>
              <w:default w:val="××××"/>
              <w:maxLength w:val="4"/>
            </w:textInput>
          </w:ffData>
        </w:fldChar>
      </w:r>
      <w:r>
        <w:rPr>
          <w:rFonts w:hAnsi="黑体"/>
        </w:rPr>
        <w:instrText xml:space="preserve"> FORMTEXT </w:instrText>
      </w:r>
      <w:r>
        <w:rPr>
          <w:rFonts w:hAnsi="黑体"/>
        </w:rPr>
        <w:fldChar w:fldCharType="separate"/>
      </w:r>
      <w:r>
        <w:rPr>
          <w:rFonts w:hint="eastAsia" w:hAnsi="黑体"/>
        </w:rPr>
        <w:t>2022</w:t>
      </w:r>
      <w:r>
        <w:rPr>
          <w:rFonts w:hAnsi="黑体"/>
        </w:rPr>
        <w:fldChar w:fldCharType="end"/>
      </w:r>
      <w:bookmarkEnd w:id="7"/>
    </w:p>
    <w:tbl>
      <w:tblPr>
        <w:tblStyle w:val="2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pPr>
              <w:pStyle w:val="73"/>
              <w:framePr/>
            </w:pPr>
            <w:bookmarkStart w:id="8" w:name="DT"/>
            <w:r>
              <w:fldChar w:fldCharType="begin">
                <w:ffData>
                  <w:name w:val="DT"/>
                  <w:enabled/>
                  <w:calcOnExit w:val="0"/>
                  <w:entryMacro w:val="ShowHelp4"/>
                  <w:textInput/>
                </w:ffData>
              </w:fldChar>
            </w:r>
            <w:r>
              <w:instrText xml:space="preserve"> FORMTEXT </w:instrText>
            </w:r>
            <w:r>
              <w:fldChar w:fldCharType="separate"/>
            </w:r>
            <w:r>
              <w:t>     </w:t>
            </w:r>
            <w:r>
              <w:fldChar w:fldCharType="end"/>
            </w:r>
            <w:bookmarkEnd w:id="8"/>
          </w:p>
        </w:tc>
      </w:tr>
    </w:tbl>
    <w:p>
      <w:pPr>
        <w:pStyle w:val="44"/>
        <w:framePr/>
        <w:rPr>
          <w:rFonts w:hAnsi="黑体"/>
        </w:rPr>
      </w:pPr>
    </w:p>
    <w:p>
      <w:pPr>
        <w:pStyle w:val="44"/>
        <w:framePr/>
        <w:rPr>
          <w:rFonts w:hAnsi="黑体"/>
        </w:rPr>
      </w:pPr>
    </w:p>
    <w:p>
      <w:pPr>
        <w:pStyle w:val="75"/>
        <w:framePr/>
      </w:pPr>
      <w:bookmarkStart w:id="9" w:name="StdName"/>
      <w:r>
        <w:fldChar w:fldCharType="begin">
          <w:ffData>
            <w:name w:val="StdName"/>
            <w:enabled/>
            <w:calcOnExit w:val="0"/>
            <w:textInput>
              <w:default w:val="点击此处添加标准名称"/>
            </w:textInput>
          </w:ffData>
        </w:fldChar>
      </w:r>
      <w:r>
        <w:instrText xml:space="preserve"> FORMTEXT </w:instrText>
      </w:r>
      <w:r>
        <w:fldChar w:fldCharType="separate"/>
      </w:r>
      <w:r>
        <w:rPr>
          <w:rFonts w:hint="eastAsia"/>
        </w:rPr>
        <w:t>大樱桃栽培技术规程</w:t>
      </w:r>
      <w:r>
        <w:fldChar w:fldCharType="end"/>
      </w:r>
      <w:bookmarkEnd w:id="9"/>
    </w:p>
    <w:p>
      <w:pPr>
        <w:pStyle w:val="76"/>
        <w:framePr/>
      </w:pPr>
    </w:p>
    <w:p>
      <w:pPr>
        <w:pStyle w:val="77"/>
        <w:framePr/>
      </w:pPr>
    </w:p>
    <w:tbl>
      <w:tblPr>
        <w:tblStyle w:val="2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pPr>
              <w:pStyle w:val="78"/>
              <w:framePr/>
            </w:pPr>
            <w:r>
              <w:pict>
                <v:rect id="RQ" o:spid="_x0000_s1031" o:spt="1" style="position:absolute;left:0pt;margin-left:173.3pt;margin-top:337.15pt;height:20pt;width:150pt;z-index:-251655168;mso-width-relative:page;mso-height-relative:page;" stroked="f" coordsize="21600,21600" o:gfxdata="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Df1/fg1wAAAAsB&#10;AAAPAAAAAAAAAAEAIAAAACIAAABkcnMvZG93bnJldi54bWxQSwECFAAUAAAACACHTuJAjWJ5laoB&#10;AABnAwAADgAAAAAAAAABACAAAAAmAQAAZHJzL2Uyb0RvYy54bWxQSwUGAAAAAAYABgBZAQAAQgUA&#10;AAAA&#10;">
                  <v:path/>
                  <v:fill focussize="0,0"/>
                  <v:stroke on="f"/>
                  <v:imagedata o:title=""/>
                  <o:lock v:ext="edit"/>
                  <w10:anchorlock/>
                </v:rect>
              </w:pic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pPr>
              <w:pStyle w:val="79"/>
              <w:framePr/>
            </w:pPr>
          </w:p>
        </w:tc>
      </w:tr>
    </w:tbl>
    <w:p>
      <w:pPr>
        <w:pStyle w:val="127"/>
        <w:framePr/>
      </w:pPr>
      <w:bookmarkStart w:id="10" w:name="FY"/>
      <w:r>
        <w:rPr>
          <w:rFonts w:ascii="黑体"/>
        </w:rPr>
        <w:fldChar w:fldCharType="begin">
          <w:ffData>
            <w:name w:val="FY"/>
            <w:enabled/>
            <w:calcOnExit w:val="0"/>
            <w:entryMacro w:val="ShowHelp8"/>
            <w:textInput>
              <w:default w:val="××××"/>
              <w:maxLength w:val="4"/>
            </w:textInput>
          </w:ffData>
        </w:fldChar>
      </w:r>
      <w:r>
        <w:rPr>
          <w:rFonts w:ascii="黑体"/>
        </w:rPr>
        <w:instrText xml:space="preserve"> FORMTEXT </w:instrText>
      </w:r>
      <w:r>
        <w:rPr>
          <w:rFonts w:ascii="黑体"/>
        </w:rPr>
        <w:fldChar w:fldCharType="separate"/>
      </w:r>
      <w:r>
        <w:rPr>
          <w:rFonts w:ascii="黑体"/>
        </w:rPr>
        <w:t>××××</w:t>
      </w:r>
      <w:r>
        <w:rPr>
          <w:rFonts w:ascii="黑体"/>
        </w:rPr>
        <w:fldChar w:fldCharType="end"/>
      </w:r>
      <w:bookmarkEnd w:id="10"/>
      <w:r>
        <w:t xml:space="preserve"> </w:t>
      </w:r>
      <w:r>
        <w:rPr>
          <w:rFonts w:ascii="黑体"/>
        </w:rPr>
        <w:t>-</w:t>
      </w:r>
      <w:r>
        <w:t xml:space="preserve"> </w:t>
      </w:r>
      <w:r>
        <w:rPr>
          <w:rFonts w:ascii="黑体"/>
        </w:rPr>
        <w:fldChar w:fldCharType="begin">
          <w:ffData>
            <w:name w:val="FM"/>
            <w:enabled/>
            <w:calcOnExit w:val="0"/>
            <w:entryMacro w:val="ShowHelp8"/>
            <w:textInput>
              <w:default w:val="××"/>
              <w:maxLength w:val="2"/>
            </w:textInput>
          </w:ffData>
        </w:fldChar>
      </w:r>
      <w:r>
        <w:rPr>
          <w:rFonts w:ascii="黑体"/>
        </w:rPr>
        <w:instrText xml:space="preserve"> FORMTEXT </w:instrText>
      </w:r>
      <w:r>
        <w:rPr>
          <w:rFonts w:ascii="黑体"/>
        </w:rPr>
        <w:fldChar w:fldCharType="separate"/>
      </w:r>
      <w:r>
        <w:rPr>
          <w:rFonts w:ascii="黑体"/>
        </w:rPr>
        <w:t>××</w:t>
      </w:r>
      <w:r>
        <w:rPr>
          <w:rFonts w:ascii="黑体"/>
        </w:rPr>
        <w:fldChar w:fldCharType="end"/>
      </w:r>
      <w:r>
        <w:t xml:space="preserve"> </w:t>
      </w:r>
      <w:r>
        <w:rPr>
          <w:rFonts w:ascii="黑体"/>
        </w:rPr>
        <w:t>-</w:t>
      </w:r>
      <w:r>
        <w:t xml:space="preserve"> </w:t>
      </w:r>
      <w:bookmarkStart w:id="11" w:name="FD"/>
      <w:r>
        <w:rPr>
          <w:rFonts w:ascii="黑体"/>
        </w:rPr>
        <w:fldChar w:fldCharType="begin">
          <w:ffData>
            <w:name w:val="FD"/>
            <w:enabled/>
            <w:calcOnExit w:val="0"/>
            <w:entryMacro w:val="ShowHelp8"/>
            <w:textInput>
              <w:default w:val="××"/>
              <w:maxLength w:val="2"/>
            </w:textInput>
          </w:ffData>
        </w:fldChar>
      </w:r>
      <w:r>
        <w:rPr>
          <w:rFonts w:ascii="黑体"/>
        </w:rPr>
        <w:instrText xml:space="preserve"> FORMTEXT </w:instrText>
      </w:r>
      <w:r>
        <w:rPr>
          <w:rFonts w:ascii="黑体"/>
        </w:rPr>
        <w:fldChar w:fldCharType="separate"/>
      </w:r>
      <w:r>
        <w:rPr>
          <w:rFonts w:ascii="黑体"/>
        </w:rPr>
        <w:t>××</w:t>
      </w:r>
      <w:r>
        <w:rPr>
          <w:rFonts w:ascii="黑体"/>
        </w:rPr>
        <w:fldChar w:fldCharType="end"/>
      </w:r>
      <w:bookmarkEnd w:id="11"/>
      <w:r>
        <w:rPr>
          <w:rFonts w:hint="eastAsia"/>
        </w:rPr>
        <w:t>发布</w:t>
      </w:r>
      <w:r>
        <w:pict>
          <v:line id="直线 10" o:spid="_x0000_s1030" o:spt="20" style="position:absolute;left:0pt;margin-left:-0.05pt;margin-top:728.5pt;height:0pt;width:481.9pt;mso-position-vertical-relative:page;z-index:251663360;mso-width-relative:page;mso-height-relative:page;"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CWHazzWAAAA&#10;CwEAAA8AAAAAAAAAAQAgAAAAIgAAAGRycy9kb3ducmV2LnhtbFBLAQIUABQAAAAIAIdO4kA3tMMG&#10;5gEAANwDAAAOAAAAAAAAAAEAIAAAACUBAABkcnMvZTJvRG9jLnhtbFBLBQYAAAAABgAGAFkBAAB9&#10;BQAAAAA=&#10;">
            <v:path arrowok="t"/>
            <v:fill focussize="0,0"/>
            <v:stroke/>
            <v:imagedata o:title=""/>
            <o:lock v:ext="edit"/>
            <w10:anchorlock/>
          </v:line>
        </w:pict>
      </w:r>
    </w:p>
    <w:p>
      <w:pPr>
        <w:pStyle w:val="128"/>
        <w:framePr/>
      </w:pPr>
      <w:bookmarkStart w:id="12" w:name="SY"/>
      <w:r>
        <w:rPr>
          <w:rFonts w:ascii="黑体"/>
        </w:rPr>
        <w:fldChar w:fldCharType="begin">
          <w:ffData>
            <w:name w:val="SY"/>
            <w:enabled/>
            <w:calcOnExit w:val="0"/>
            <w:entryMacro w:val="ShowHelp9"/>
            <w:textInput>
              <w:default w:val="××××"/>
              <w:maxLength w:val="4"/>
            </w:textInput>
          </w:ffData>
        </w:fldChar>
      </w:r>
      <w:r>
        <w:rPr>
          <w:rFonts w:ascii="黑体"/>
        </w:rPr>
        <w:instrText xml:space="preserve"> FORMTEXT </w:instrText>
      </w:r>
      <w:r>
        <w:rPr>
          <w:rFonts w:ascii="黑体"/>
        </w:rPr>
        <w:fldChar w:fldCharType="separate"/>
      </w:r>
      <w:r>
        <w:rPr>
          <w:rFonts w:ascii="黑体"/>
        </w:rPr>
        <w:t>××××</w:t>
      </w:r>
      <w:r>
        <w:rPr>
          <w:rFonts w:ascii="黑体"/>
        </w:rPr>
        <w:fldChar w:fldCharType="end"/>
      </w:r>
      <w:bookmarkEnd w:id="12"/>
      <w:r>
        <w:t xml:space="preserve"> </w:t>
      </w:r>
      <w:r>
        <w:rPr>
          <w:rFonts w:ascii="黑体"/>
        </w:rPr>
        <w:t>-</w:t>
      </w:r>
      <w:r>
        <w:t xml:space="preserve"> </w:t>
      </w:r>
      <w:bookmarkStart w:id="13" w:name="SM"/>
      <w:r>
        <w:rPr>
          <w:rFonts w:ascii="黑体"/>
        </w:rPr>
        <w:fldChar w:fldCharType="begin">
          <w:ffData>
            <w:name w:val="SM"/>
            <w:enabled/>
            <w:calcOnExit w:val="0"/>
            <w:entryMacro w:val="ShowHelp9"/>
            <w:textInput>
              <w:default w:val="××"/>
              <w:maxLength w:val="2"/>
            </w:textInput>
          </w:ffData>
        </w:fldChar>
      </w:r>
      <w:r>
        <w:rPr>
          <w:rFonts w:ascii="黑体"/>
        </w:rPr>
        <w:instrText xml:space="preserve"> FORMTEXT </w:instrText>
      </w:r>
      <w:r>
        <w:rPr>
          <w:rFonts w:ascii="黑体"/>
        </w:rPr>
        <w:fldChar w:fldCharType="separate"/>
      </w:r>
      <w:r>
        <w:rPr>
          <w:rFonts w:ascii="黑体"/>
        </w:rPr>
        <w:t>××</w:t>
      </w:r>
      <w:r>
        <w:rPr>
          <w:rFonts w:ascii="黑体"/>
        </w:rPr>
        <w:fldChar w:fldCharType="end"/>
      </w:r>
      <w:bookmarkEnd w:id="13"/>
      <w:r>
        <w:t xml:space="preserve"> </w:t>
      </w:r>
      <w:r>
        <w:rPr>
          <w:rFonts w:ascii="黑体"/>
        </w:rPr>
        <w:t>-</w:t>
      </w:r>
      <w:r>
        <w:t xml:space="preserve"> </w:t>
      </w:r>
      <w:bookmarkStart w:id="14" w:name="SD"/>
      <w:r>
        <w:rPr>
          <w:rFonts w:ascii="黑体"/>
        </w:rPr>
        <w:fldChar w:fldCharType="begin">
          <w:ffData>
            <w:name w:val="SD"/>
            <w:enabled/>
            <w:calcOnExit w:val="0"/>
            <w:entryMacro w:val="ShowHelp9"/>
            <w:textInput>
              <w:default w:val="××"/>
              <w:maxLength w:val="2"/>
            </w:textInput>
          </w:ffData>
        </w:fldChar>
      </w:r>
      <w:r>
        <w:rPr>
          <w:rFonts w:ascii="黑体"/>
        </w:rPr>
        <w:instrText xml:space="preserve"> FORMTEXT </w:instrText>
      </w:r>
      <w:r>
        <w:rPr>
          <w:rFonts w:ascii="黑体"/>
        </w:rPr>
        <w:fldChar w:fldCharType="separate"/>
      </w:r>
      <w:r>
        <w:rPr>
          <w:rFonts w:ascii="黑体"/>
        </w:rPr>
        <w:t>××</w:t>
      </w:r>
      <w:r>
        <w:rPr>
          <w:rFonts w:ascii="黑体"/>
        </w:rPr>
        <w:fldChar w:fldCharType="end"/>
      </w:r>
      <w:bookmarkEnd w:id="14"/>
      <w:r>
        <w:rPr>
          <w:rFonts w:hint="eastAsia"/>
        </w:rPr>
        <w:t>实施</w:t>
      </w:r>
    </w:p>
    <w:p>
      <w:pPr>
        <w:pStyle w:val="108"/>
        <w:framePr/>
      </w:pPr>
      <w:bookmarkStart w:id="15" w:name="fm"/>
      <w:r>
        <w:rPr>
          <w:w w:val="100"/>
        </w:rPr>
        <w:pict>
          <v:rect id="LB" o:spid="_x0000_s1029" o:spt="1" style="position:absolute;left:0pt;margin-left:142.55pt;margin-top:-310.45pt;height:24pt;width:100pt;z-index:-251656192;mso-width-relative:page;mso-height-relative:page;" stroked="f" coordsize="21600,21600" o:gfxdata="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bXu1tkAAAAN&#10;AQAADwAAAAAAAAABACAAAAAiAAAAZHJzL2Rvd25yZXYueG1sUEsBAhQAFAAAAAgAh07iQBXfBLqp&#10;AQAAZwMAAA4AAAAAAAAAAQAgAAAAKAEAAGRycy9lMm9Eb2MueG1sUEsFBgAAAAAGAAYAWQEAAEMF&#10;AAAAAA==&#10;">
            <v:path/>
            <v:fill focussize="0,0"/>
            <v:stroke on="f"/>
            <v:imagedata o:title=""/>
            <o:lock v:ext="edit"/>
          </v:rect>
        </w:pict>
      </w:r>
      <w:r>
        <w:rPr>
          <w:w w:val="100"/>
        </w:rPr>
        <w:pict>
          <v:rect id="DT" o:spid="_x0000_s1028" o:spt="1" style="position:absolute;left:0pt;margin-left:347.55pt;margin-top:-585.45pt;height:18pt;width:90pt;z-index:-251657216;mso-width-relative:page;mso-height-relative:page;" stroked="f" coordsize="21600,21600"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DfyYoR2gAA&#10;AA8BAAAPAAAAAAAAAAEAIAAAACIAAABkcnMvZG93bnJldi54bWxQSwECFAAUAAAACACHTuJA9p9R&#10;CqoBAABnAwAADgAAAAAAAAABACAAAAApAQAAZHJzL2Uyb0RvYy54bWxQSwUGAAAAAAYABgBZAQAA&#10;RQUAAAAA&#10;">
            <v:path/>
            <v:fill focussize="0,0"/>
            <v:stroke on="f"/>
            <v:imagedata o:title=""/>
            <o:lock v:ext="edit"/>
          </v:rect>
        </w:pict>
      </w:r>
      <w:r>
        <w:rPr>
          <w:w w:val="100"/>
        </w:rPr>
        <w:pict>
          <v:line id="直线 11" o:spid="_x0000_s1027" o:spt="20" style="position:absolute;left:0pt;margin-left:-36.6pt;margin-top:-552.85pt;height:0pt;width:481.9pt;z-index:251664384;mso-width-relative:page;mso-height-relative:page;" coordsize="21600,21600" o:gfxdata="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DslkaDY&#10;AAAADwEAAA8AAAAAAAAAAQAgAAAAIgAAAGRycy9kb3ducmV2LnhtbFBLAQIUABQAAAAIAIdO4kAB&#10;DqeS5wEAANwDAAAOAAAAAAAAAAEAIAAAACcBAABkcnMvZTJvRG9jLnhtbFBLBQYAAAAABgAGAFkB&#10;AACABQAAAAA=&#10;">
            <v:path arrowok="t"/>
            <v:fill focussize="0,0"/>
            <v:stroke/>
            <v:imagedata o:title=""/>
            <o:lock v:ext="edit"/>
          </v:line>
        </w:pict>
      </w:r>
      <w:r>
        <w:fldChar w:fldCharType="begin">
          <w:ffData>
            <w:name w:val="fm"/>
            <w:enabled/>
            <w:calcOnExit w:val="0"/>
            <w:textInput/>
          </w:ffData>
        </w:fldChar>
      </w:r>
      <w:r>
        <w:instrText xml:space="preserve"> FORMTEXT </w:instrText>
      </w:r>
      <w:r>
        <w:fldChar w:fldCharType="separate"/>
      </w:r>
      <w:r>
        <w:rPr>
          <w:rFonts w:hint="eastAsia"/>
        </w:rPr>
        <w:t>山西省质量技术监督局</w:t>
      </w:r>
      <w:r>
        <w:fldChar w:fldCharType="end"/>
      </w:r>
      <w:bookmarkEnd w:id="15"/>
      <w:r>
        <w:rPr>
          <w:rFonts w:hAnsi="黑体"/>
        </w:rPr>
        <w:t>   </w:t>
      </w:r>
      <w:r>
        <w:rPr>
          <w:rStyle w:val="70"/>
          <w:rFonts w:hint="eastAsia"/>
        </w:rPr>
        <w:t>发布</w:t>
      </w:r>
    </w:p>
    <w:p>
      <w:pPr>
        <w:pStyle w:val="20"/>
        <w:sectPr>
          <w:pgSz w:w="11906" w:h="16838"/>
          <w:pgMar w:top="567" w:right="850" w:bottom="1134" w:left="1418" w:header="0" w:footer="0" w:gutter="0"/>
          <w:pgNumType w:start="1"/>
          <w:cols w:space="720" w:num="1"/>
          <w:docGrid w:type="lines" w:linePitch="312" w:charSpace="0"/>
        </w:sectPr>
      </w:pPr>
    </w:p>
    <w:p>
      <w:pPr>
        <w:pStyle w:val="47"/>
      </w:pPr>
      <w:r>
        <w:rPr>
          <w:rFonts w:hint="eastAsia"/>
        </w:rPr>
        <w:t>目</w:t>
      </w:r>
      <w:bookmarkStart w:id="16" w:name="BKML"/>
      <w:r>
        <w:rPr>
          <w:rFonts w:hAnsi="黑体"/>
        </w:rPr>
        <w:t>  </w:t>
      </w:r>
      <w:r>
        <w:rPr>
          <w:rFonts w:hint="eastAsia"/>
        </w:rPr>
        <w:t>次</w:t>
      </w:r>
      <w:bookmarkEnd w:id="16"/>
    </w:p>
    <w:p>
      <w:pPr>
        <w:pStyle w:val="16"/>
        <w:tabs>
          <w:tab w:val="right" w:leader="dot" w:pos="9354"/>
          <w:tab w:val="clear" w:pos="9241"/>
        </w:tabs>
      </w:pPr>
      <w:r>
        <w:fldChar w:fldCharType="begin"/>
      </w:r>
      <w:r>
        <w:instrText xml:space="preserve"> TOC \h \z \t "前言、引言标题,1,参考文献、索引标题,1,章标题,1,参考文献,1,附录标识,1" </w:instrText>
      </w:r>
      <w:r>
        <w:fldChar w:fldCharType="separate"/>
      </w:r>
      <w:r>
        <w:fldChar w:fldCharType="begin"/>
      </w:r>
      <w:r>
        <w:instrText xml:space="preserve"> HYPERLINK \l _Toc31254 </w:instrText>
      </w:r>
      <w:r>
        <w:fldChar w:fldCharType="separate"/>
      </w:r>
      <w:r>
        <w:rPr>
          <w:rFonts w:hint="eastAsia"/>
        </w:rPr>
        <w:t>前</w:t>
      </w:r>
      <w:r>
        <w:rPr>
          <w:rFonts w:hAnsi="黑体"/>
        </w:rPr>
        <w:t>  </w:t>
      </w:r>
      <w:r>
        <w:rPr>
          <w:rFonts w:hint="eastAsia"/>
        </w:rPr>
        <w:t>言</w:t>
      </w:r>
      <w:r>
        <w:tab/>
      </w:r>
      <w:r>
        <w:fldChar w:fldCharType="begin"/>
      </w:r>
      <w:r>
        <w:instrText xml:space="preserve"> PAGEREF _Toc31254 \h </w:instrText>
      </w:r>
      <w:r>
        <w:fldChar w:fldCharType="separate"/>
      </w:r>
      <w:r>
        <w:t>II</w:t>
      </w:r>
      <w:r>
        <w:fldChar w:fldCharType="end"/>
      </w:r>
      <w:r>
        <w:fldChar w:fldCharType="end"/>
      </w:r>
    </w:p>
    <w:p>
      <w:pPr>
        <w:pStyle w:val="16"/>
        <w:tabs>
          <w:tab w:val="right" w:leader="dot" w:pos="9354"/>
          <w:tab w:val="clear" w:pos="9241"/>
        </w:tabs>
      </w:pPr>
      <w:r>
        <w:rPr>
          <w:kern w:val="2"/>
          <w:szCs w:val="21"/>
        </w:rPr>
        <w:fldChar w:fldCharType="begin"/>
      </w:r>
      <w:r>
        <w:rPr>
          <w:kern w:val="2"/>
          <w:szCs w:val="21"/>
        </w:rPr>
        <w:instrText xml:space="preserve"> HYPERLINK \l _Toc30968 </w:instrText>
      </w:r>
      <w:r>
        <w:rPr>
          <w:kern w:val="2"/>
          <w:szCs w:val="21"/>
        </w:rPr>
        <w:fldChar w:fldCharType="separate"/>
      </w:r>
      <w:r>
        <w:rPr>
          <w:rFonts w:hint="eastAsia" w:ascii="黑体" w:hAnsi="Times New Roman" w:eastAsia="黑体"/>
          <w:i w:val="0"/>
          <w:szCs w:val="21"/>
        </w:rPr>
        <w:t xml:space="preserve">1 </w:t>
      </w:r>
      <w:r>
        <w:rPr>
          <w:rFonts w:hint="eastAsia"/>
        </w:rPr>
        <w:t>范围</w:t>
      </w:r>
      <w:r>
        <w:tab/>
      </w:r>
      <w:r>
        <w:fldChar w:fldCharType="begin"/>
      </w:r>
      <w:r>
        <w:instrText xml:space="preserve"> PAGEREF _Toc30968 \h </w:instrText>
      </w:r>
      <w:r>
        <w:fldChar w:fldCharType="separate"/>
      </w:r>
      <w:r>
        <w:t>1</w:t>
      </w:r>
      <w:r>
        <w:fldChar w:fldCharType="end"/>
      </w:r>
      <w:r>
        <w:rPr>
          <w:kern w:val="2"/>
          <w:szCs w:val="21"/>
        </w:rPr>
        <w:fldChar w:fldCharType="end"/>
      </w:r>
    </w:p>
    <w:p>
      <w:pPr>
        <w:pStyle w:val="16"/>
        <w:tabs>
          <w:tab w:val="right" w:leader="dot" w:pos="9354"/>
          <w:tab w:val="clear" w:pos="9241"/>
        </w:tabs>
      </w:pPr>
      <w:r>
        <w:rPr>
          <w:kern w:val="2"/>
          <w:szCs w:val="21"/>
        </w:rPr>
        <w:fldChar w:fldCharType="begin"/>
      </w:r>
      <w:r>
        <w:rPr>
          <w:kern w:val="2"/>
          <w:szCs w:val="21"/>
        </w:rPr>
        <w:instrText xml:space="preserve"> HYPERLINK \l _Toc21443 </w:instrText>
      </w:r>
      <w:r>
        <w:rPr>
          <w:kern w:val="2"/>
          <w:szCs w:val="21"/>
        </w:rPr>
        <w:fldChar w:fldCharType="separate"/>
      </w:r>
      <w:r>
        <w:rPr>
          <w:rFonts w:hint="eastAsia" w:ascii="黑体" w:hAnsi="Times New Roman" w:eastAsia="黑体"/>
          <w:i w:val="0"/>
          <w:szCs w:val="21"/>
        </w:rPr>
        <w:t xml:space="preserve">2 </w:t>
      </w:r>
      <w:r>
        <w:rPr>
          <w:rFonts w:hint="eastAsia"/>
        </w:rPr>
        <w:t>规范性引用文件</w:t>
      </w:r>
      <w:r>
        <w:tab/>
      </w:r>
      <w:r>
        <w:fldChar w:fldCharType="begin"/>
      </w:r>
      <w:r>
        <w:instrText xml:space="preserve"> PAGEREF _Toc21443 \h </w:instrText>
      </w:r>
      <w:r>
        <w:fldChar w:fldCharType="separate"/>
      </w:r>
      <w:r>
        <w:t>1</w:t>
      </w:r>
      <w:r>
        <w:fldChar w:fldCharType="end"/>
      </w:r>
      <w:r>
        <w:rPr>
          <w:kern w:val="2"/>
          <w:szCs w:val="21"/>
        </w:rPr>
        <w:fldChar w:fldCharType="end"/>
      </w:r>
    </w:p>
    <w:p>
      <w:pPr>
        <w:pStyle w:val="16"/>
        <w:tabs>
          <w:tab w:val="right" w:leader="dot" w:pos="9354"/>
          <w:tab w:val="clear" w:pos="9241"/>
        </w:tabs>
      </w:pPr>
      <w:r>
        <w:rPr>
          <w:kern w:val="2"/>
          <w:szCs w:val="21"/>
        </w:rPr>
        <w:fldChar w:fldCharType="begin"/>
      </w:r>
      <w:r>
        <w:rPr>
          <w:kern w:val="2"/>
          <w:szCs w:val="21"/>
        </w:rPr>
        <w:instrText xml:space="preserve"> HYPERLINK \l _Toc4608 </w:instrText>
      </w:r>
      <w:r>
        <w:rPr>
          <w:kern w:val="2"/>
          <w:szCs w:val="21"/>
        </w:rPr>
        <w:fldChar w:fldCharType="separate"/>
      </w:r>
      <w:r>
        <w:rPr>
          <w:rFonts w:hint="eastAsia" w:ascii="黑体" w:hAnsi="Times New Roman" w:eastAsia="黑体"/>
          <w:i w:val="0"/>
          <w:szCs w:val="21"/>
        </w:rPr>
        <w:t xml:space="preserve">3 </w:t>
      </w:r>
      <w:r>
        <w:rPr>
          <w:rFonts w:hint="eastAsia"/>
        </w:rPr>
        <w:t>产地条件</w:t>
      </w:r>
      <w:r>
        <w:tab/>
      </w:r>
      <w:r>
        <w:fldChar w:fldCharType="begin"/>
      </w:r>
      <w:r>
        <w:instrText xml:space="preserve"> PAGEREF _Toc4608 \h </w:instrText>
      </w:r>
      <w:r>
        <w:fldChar w:fldCharType="separate"/>
      </w:r>
      <w:r>
        <w:t>1</w:t>
      </w:r>
      <w:r>
        <w:fldChar w:fldCharType="end"/>
      </w:r>
      <w:r>
        <w:rPr>
          <w:kern w:val="2"/>
          <w:szCs w:val="21"/>
        </w:rPr>
        <w:fldChar w:fldCharType="end"/>
      </w:r>
    </w:p>
    <w:p>
      <w:pPr>
        <w:pStyle w:val="16"/>
        <w:tabs>
          <w:tab w:val="right" w:leader="dot" w:pos="9354"/>
          <w:tab w:val="clear" w:pos="9241"/>
        </w:tabs>
      </w:pPr>
      <w:r>
        <w:rPr>
          <w:kern w:val="2"/>
          <w:szCs w:val="21"/>
        </w:rPr>
        <w:fldChar w:fldCharType="begin"/>
      </w:r>
      <w:r>
        <w:rPr>
          <w:kern w:val="2"/>
          <w:szCs w:val="21"/>
        </w:rPr>
        <w:instrText xml:space="preserve"> HYPERLINK \l _Toc11421 </w:instrText>
      </w:r>
      <w:r>
        <w:rPr>
          <w:kern w:val="2"/>
          <w:szCs w:val="21"/>
        </w:rPr>
        <w:fldChar w:fldCharType="separate"/>
      </w:r>
      <w:r>
        <w:rPr>
          <w:rFonts w:hint="eastAsia" w:ascii="黑体" w:hAnsi="Times New Roman" w:eastAsia="黑体"/>
          <w:i w:val="0"/>
          <w:szCs w:val="21"/>
        </w:rPr>
        <w:t xml:space="preserve">4 </w:t>
      </w:r>
      <w:r>
        <w:rPr>
          <w:rFonts w:hint="eastAsia"/>
        </w:rPr>
        <w:t>建园</w:t>
      </w:r>
      <w:r>
        <w:tab/>
      </w:r>
      <w:r>
        <w:fldChar w:fldCharType="begin"/>
      </w:r>
      <w:r>
        <w:instrText xml:space="preserve"> PAGEREF _Toc11421 \h </w:instrText>
      </w:r>
      <w:r>
        <w:fldChar w:fldCharType="separate"/>
      </w:r>
      <w:r>
        <w:t>1</w:t>
      </w:r>
      <w:r>
        <w:fldChar w:fldCharType="end"/>
      </w:r>
      <w:r>
        <w:rPr>
          <w:kern w:val="2"/>
          <w:szCs w:val="21"/>
        </w:rPr>
        <w:fldChar w:fldCharType="end"/>
      </w:r>
    </w:p>
    <w:p>
      <w:pPr>
        <w:pStyle w:val="16"/>
        <w:tabs>
          <w:tab w:val="right" w:leader="dot" w:pos="9354"/>
          <w:tab w:val="clear" w:pos="9241"/>
        </w:tabs>
      </w:pPr>
      <w:r>
        <w:rPr>
          <w:kern w:val="2"/>
          <w:szCs w:val="21"/>
        </w:rPr>
        <w:fldChar w:fldCharType="begin"/>
      </w:r>
      <w:r>
        <w:rPr>
          <w:kern w:val="2"/>
          <w:szCs w:val="21"/>
        </w:rPr>
        <w:instrText xml:space="preserve"> HYPERLINK \l _Toc22841 </w:instrText>
      </w:r>
      <w:r>
        <w:rPr>
          <w:kern w:val="2"/>
          <w:szCs w:val="21"/>
        </w:rPr>
        <w:fldChar w:fldCharType="separate"/>
      </w:r>
      <w:r>
        <w:rPr>
          <w:rFonts w:hint="eastAsia" w:ascii="黑体" w:hAnsi="Times New Roman" w:eastAsia="黑体"/>
          <w:i w:val="0"/>
          <w:szCs w:val="21"/>
        </w:rPr>
        <w:t xml:space="preserve">5 </w:t>
      </w:r>
      <w:r>
        <w:rPr>
          <w:rFonts w:hint="eastAsia"/>
        </w:rPr>
        <w:t>整形修剪</w:t>
      </w:r>
      <w:r>
        <w:tab/>
      </w:r>
      <w:r>
        <w:fldChar w:fldCharType="begin"/>
      </w:r>
      <w:r>
        <w:instrText xml:space="preserve"> PAGEREF _Toc22841 \h </w:instrText>
      </w:r>
      <w:r>
        <w:fldChar w:fldCharType="separate"/>
      </w:r>
      <w:r>
        <w:t>2</w:t>
      </w:r>
      <w:r>
        <w:fldChar w:fldCharType="end"/>
      </w:r>
      <w:r>
        <w:rPr>
          <w:kern w:val="2"/>
          <w:szCs w:val="21"/>
        </w:rPr>
        <w:fldChar w:fldCharType="end"/>
      </w:r>
    </w:p>
    <w:p>
      <w:pPr>
        <w:pStyle w:val="16"/>
        <w:tabs>
          <w:tab w:val="right" w:leader="dot" w:pos="9354"/>
          <w:tab w:val="clear" w:pos="9241"/>
        </w:tabs>
      </w:pPr>
      <w:r>
        <w:rPr>
          <w:kern w:val="2"/>
          <w:szCs w:val="21"/>
        </w:rPr>
        <w:fldChar w:fldCharType="begin"/>
      </w:r>
      <w:r>
        <w:rPr>
          <w:kern w:val="2"/>
          <w:szCs w:val="21"/>
        </w:rPr>
        <w:instrText xml:space="preserve"> HYPERLINK \l _Toc10427 </w:instrText>
      </w:r>
      <w:r>
        <w:rPr>
          <w:kern w:val="2"/>
          <w:szCs w:val="21"/>
        </w:rPr>
        <w:fldChar w:fldCharType="separate"/>
      </w:r>
      <w:r>
        <w:rPr>
          <w:rFonts w:hint="eastAsia" w:ascii="黑体" w:hAnsi="Times New Roman" w:eastAsia="黑体"/>
          <w:i w:val="0"/>
          <w:szCs w:val="21"/>
        </w:rPr>
        <w:t xml:space="preserve">6 </w:t>
      </w:r>
      <w:r>
        <w:rPr>
          <w:rFonts w:hint="eastAsia"/>
        </w:rPr>
        <w:t>花果管理</w:t>
      </w:r>
      <w:r>
        <w:tab/>
      </w:r>
      <w:r>
        <w:fldChar w:fldCharType="begin"/>
      </w:r>
      <w:r>
        <w:instrText xml:space="preserve"> PAGEREF _Toc10427 \h </w:instrText>
      </w:r>
      <w:r>
        <w:fldChar w:fldCharType="separate"/>
      </w:r>
      <w:r>
        <w:t>3</w:t>
      </w:r>
      <w:r>
        <w:fldChar w:fldCharType="end"/>
      </w:r>
      <w:r>
        <w:rPr>
          <w:kern w:val="2"/>
          <w:szCs w:val="21"/>
        </w:rPr>
        <w:fldChar w:fldCharType="end"/>
      </w:r>
    </w:p>
    <w:p>
      <w:pPr>
        <w:pStyle w:val="16"/>
        <w:tabs>
          <w:tab w:val="right" w:leader="dot" w:pos="9354"/>
          <w:tab w:val="clear" w:pos="9241"/>
        </w:tabs>
      </w:pPr>
      <w:r>
        <w:rPr>
          <w:kern w:val="2"/>
          <w:szCs w:val="21"/>
        </w:rPr>
        <w:fldChar w:fldCharType="begin"/>
      </w:r>
      <w:r>
        <w:rPr>
          <w:kern w:val="2"/>
          <w:szCs w:val="21"/>
        </w:rPr>
        <w:instrText xml:space="preserve"> HYPERLINK \l _Toc6689 </w:instrText>
      </w:r>
      <w:r>
        <w:rPr>
          <w:kern w:val="2"/>
          <w:szCs w:val="21"/>
        </w:rPr>
        <w:fldChar w:fldCharType="separate"/>
      </w:r>
      <w:r>
        <w:rPr>
          <w:rFonts w:hint="eastAsia" w:ascii="黑体" w:hAnsi="Times New Roman" w:eastAsia="黑体"/>
          <w:i w:val="0"/>
          <w:szCs w:val="21"/>
        </w:rPr>
        <w:t xml:space="preserve">7 </w:t>
      </w:r>
      <w:r>
        <w:rPr>
          <w:rFonts w:hint="eastAsia"/>
        </w:rPr>
        <w:t>土肥水管理</w:t>
      </w:r>
      <w:r>
        <w:tab/>
      </w:r>
      <w:r>
        <w:fldChar w:fldCharType="begin"/>
      </w:r>
      <w:r>
        <w:instrText xml:space="preserve"> PAGEREF _Toc6689 \h </w:instrText>
      </w:r>
      <w:r>
        <w:fldChar w:fldCharType="separate"/>
      </w:r>
      <w:r>
        <w:t>4</w:t>
      </w:r>
      <w:r>
        <w:fldChar w:fldCharType="end"/>
      </w:r>
      <w:r>
        <w:rPr>
          <w:kern w:val="2"/>
          <w:szCs w:val="21"/>
        </w:rPr>
        <w:fldChar w:fldCharType="end"/>
      </w:r>
    </w:p>
    <w:p>
      <w:pPr>
        <w:pStyle w:val="16"/>
        <w:tabs>
          <w:tab w:val="right" w:leader="dot" w:pos="9354"/>
          <w:tab w:val="clear" w:pos="9241"/>
        </w:tabs>
      </w:pPr>
      <w:r>
        <w:rPr>
          <w:kern w:val="2"/>
          <w:szCs w:val="21"/>
        </w:rPr>
        <w:fldChar w:fldCharType="begin"/>
      </w:r>
      <w:r>
        <w:rPr>
          <w:kern w:val="2"/>
          <w:szCs w:val="21"/>
        </w:rPr>
        <w:instrText xml:space="preserve"> HYPERLINK \l _Toc18016 </w:instrText>
      </w:r>
      <w:r>
        <w:rPr>
          <w:kern w:val="2"/>
          <w:szCs w:val="21"/>
        </w:rPr>
        <w:fldChar w:fldCharType="separate"/>
      </w:r>
      <w:r>
        <w:rPr>
          <w:rFonts w:hint="eastAsia" w:ascii="黑体" w:hAnsi="Times New Roman" w:eastAsia="黑体"/>
          <w:i w:val="0"/>
          <w:szCs w:val="21"/>
        </w:rPr>
        <w:t xml:space="preserve">8 </w:t>
      </w:r>
      <w:r>
        <w:rPr>
          <w:rFonts w:hint="eastAsia"/>
        </w:rPr>
        <w:t>主要病虫害防治方法</w:t>
      </w:r>
      <w:r>
        <w:tab/>
      </w:r>
      <w:r>
        <w:fldChar w:fldCharType="begin"/>
      </w:r>
      <w:r>
        <w:instrText xml:space="preserve"> PAGEREF _Toc18016 \h </w:instrText>
      </w:r>
      <w:r>
        <w:fldChar w:fldCharType="separate"/>
      </w:r>
      <w:r>
        <w:t>5</w:t>
      </w:r>
      <w:r>
        <w:fldChar w:fldCharType="end"/>
      </w:r>
      <w:r>
        <w:rPr>
          <w:kern w:val="2"/>
          <w:szCs w:val="21"/>
        </w:rPr>
        <w:fldChar w:fldCharType="end"/>
      </w:r>
    </w:p>
    <w:p>
      <w:pPr>
        <w:pStyle w:val="16"/>
        <w:tabs>
          <w:tab w:val="right" w:leader="dot" w:pos="9354"/>
          <w:tab w:val="clear" w:pos="9241"/>
        </w:tabs>
      </w:pPr>
      <w:r>
        <w:rPr>
          <w:kern w:val="2"/>
          <w:szCs w:val="21"/>
        </w:rPr>
        <w:fldChar w:fldCharType="begin"/>
      </w:r>
      <w:r>
        <w:rPr>
          <w:kern w:val="2"/>
          <w:szCs w:val="21"/>
        </w:rPr>
        <w:instrText xml:space="preserve"> HYPERLINK \l _Toc8126 </w:instrText>
      </w:r>
      <w:r>
        <w:rPr>
          <w:kern w:val="2"/>
          <w:szCs w:val="21"/>
        </w:rPr>
        <w:fldChar w:fldCharType="separate"/>
      </w:r>
      <w:r>
        <w:rPr>
          <w:rFonts w:hint="eastAsia" w:ascii="黑体" w:hAnsi="Times New Roman" w:eastAsia="黑体"/>
          <w:i w:val="0"/>
          <w:szCs w:val="21"/>
        </w:rPr>
        <w:t xml:space="preserve">9 </w:t>
      </w:r>
      <w:r>
        <w:rPr>
          <w:rFonts w:hint="eastAsia"/>
        </w:rPr>
        <w:t>果实的采收和包装</w:t>
      </w:r>
      <w:r>
        <w:tab/>
      </w:r>
      <w:r>
        <w:fldChar w:fldCharType="begin"/>
      </w:r>
      <w:r>
        <w:instrText xml:space="preserve"> PAGEREF _Toc8126 \h </w:instrText>
      </w:r>
      <w:r>
        <w:fldChar w:fldCharType="separate"/>
      </w:r>
      <w:r>
        <w:t>5</w:t>
      </w:r>
      <w:r>
        <w:fldChar w:fldCharType="end"/>
      </w:r>
      <w:r>
        <w:rPr>
          <w:kern w:val="2"/>
          <w:szCs w:val="21"/>
        </w:rPr>
        <w:fldChar w:fldCharType="end"/>
      </w:r>
    </w:p>
    <w:p>
      <w:pPr>
        <w:pStyle w:val="16"/>
        <w:tabs>
          <w:tab w:val="right" w:leader="dot" w:pos="9354"/>
          <w:tab w:val="clear" w:pos="9241"/>
        </w:tabs>
      </w:pPr>
      <w:r>
        <w:rPr>
          <w:kern w:val="2"/>
          <w:szCs w:val="21"/>
        </w:rPr>
        <w:fldChar w:fldCharType="begin"/>
      </w:r>
      <w:r>
        <w:rPr>
          <w:kern w:val="2"/>
          <w:szCs w:val="21"/>
        </w:rPr>
        <w:instrText xml:space="preserve"> HYPERLINK \l _Toc6911 </w:instrText>
      </w:r>
      <w:r>
        <w:rPr>
          <w:kern w:val="2"/>
          <w:szCs w:val="21"/>
        </w:rPr>
        <w:fldChar w:fldCharType="separate"/>
      </w:r>
      <w:r>
        <w:rPr>
          <w:rFonts w:hint="eastAsia" w:ascii="黑体" w:hAnsi="Times New Roman" w:eastAsia="黑体"/>
          <w:i w:val="0"/>
          <w:szCs w:val="21"/>
          <w:lang w:val="en-US" w:eastAsia="zh-CN"/>
        </w:rPr>
        <w:t xml:space="preserve">10 </w:t>
      </w:r>
      <w:r>
        <w:rPr>
          <w:rFonts w:hint="eastAsia"/>
          <w:lang w:val="en-US" w:eastAsia="zh-CN"/>
        </w:rPr>
        <w:t>生产档案</w:t>
      </w:r>
      <w:r>
        <w:tab/>
      </w:r>
      <w:r>
        <w:fldChar w:fldCharType="begin"/>
      </w:r>
      <w:r>
        <w:instrText xml:space="preserve"> PAGEREF _Toc6911 \h </w:instrText>
      </w:r>
      <w:r>
        <w:fldChar w:fldCharType="separate"/>
      </w:r>
      <w:r>
        <w:t>6</w:t>
      </w:r>
      <w:r>
        <w:fldChar w:fldCharType="end"/>
      </w:r>
      <w:r>
        <w:rPr>
          <w:kern w:val="2"/>
          <w:szCs w:val="21"/>
        </w:rPr>
        <w:fldChar w:fldCharType="end"/>
      </w:r>
    </w:p>
    <w:p>
      <w:pPr>
        <w:pStyle w:val="16"/>
        <w:tabs>
          <w:tab w:val="right" w:leader="dot" w:pos="9354"/>
          <w:tab w:val="clear" w:pos="9241"/>
        </w:tabs>
      </w:pPr>
      <w:r>
        <w:rPr>
          <w:kern w:val="2"/>
          <w:szCs w:val="21"/>
        </w:rPr>
        <w:fldChar w:fldCharType="begin"/>
      </w:r>
      <w:r>
        <w:rPr>
          <w:kern w:val="2"/>
          <w:szCs w:val="21"/>
        </w:rPr>
        <w:instrText xml:space="preserve"> HYPERLINK \l _Toc28190 </w:instrText>
      </w:r>
      <w:r>
        <w:rPr>
          <w:kern w:val="2"/>
          <w:szCs w:val="21"/>
        </w:rPr>
        <w:fldChar w:fldCharType="separate"/>
      </w:r>
      <w:r>
        <w:rPr>
          <w:rFonts w:hint="eastAsia" w:ascii="黑体" w:hAnsi="Times New Roman" w:eastAsia="黑体"/>
          <w:i w:val="0"/>
          <w:spacing w:val="0"/>
          <w:w w:val="100"/>
        </w:rPr>
        <w:t xml:space="preserve">附　录　A </w:t>
      </w:r>
      <w:r>
        <w:tab/>
      </w:r>
      <w:r>
        <w:fldChar w:fldCharType="begin"/>
      </w:r>
      <w:r>
        <w:instrText xml:space="preserve"> PAGEREF _Toc28190 \h </w:instrText>
      </w:r>
      <w:r>
        <w:fldChar w:fldCharType="separate"/>
      </w:r>
      <w:r>
        <w:t>7</w:t>
      </w:r>
      <w:r>
        <w:fldChar w:fldCharType="end"/>
      </w:r>
      <w:r>
        <w:rPr>
          <w:kern w:val="2"/>
          <w:szCs w:val="21"/>
        </w:rPr>
        <w:fldChar w:fldCharType="end"/>
      </w:r>
    </w:p>
    <w:p>
      <w:pPr>
        <w:pStyle w:val="16"/>
        <w:tabs>
          <w:tab w:val="right" w:leader="dot" w:pos="9354"/>
          <w:tab w:val="clear" w:pos="9241"/>
        </w:tabs>
      </w:pPr>
      <w:r>
        <w:rPr>
          <w:kern w:val="2"/>
          <w:szCs w:val="21"/>
        </w:rPr>
        <w:fldChar w:fldCharType="begin"/>
      </w:r>
      <w:r>
        <w:rPr>
          <w:kern w:val="2"/>
          <w:szCs w:val="21"/>
        </w:rPr>
        <w:instrText xml:space="preserve"> HYPERLINK \l _Toc21834 </w:instrText>
      </w:r>
      <w:r>
        <w:rPr>
          <w:kern w:val="2"/>
          <w:szCs w:val="21"/>
        </w:rPr>
        <w:fldChar w:fldCharType="separate"/>
      </w:r>
      <w:r>
        <w:rPr>
          <w:rFonts w:hint="eastAsia"/>
        </w:rPr>
        <w:t>（资料性附录）</w:t>
      </w:r>
      <w:r>
        <w:t xml:space="preserve"> </w:t>
      </w:r>
      <w:r>
        <w:rPr>
          <w:rFonts w:hint="eastAsia"/>
        </w:rPr>
        <w:t>大樱桃主要病虫害及其防治</w:t>
      </w:r>
      <w:r>
        <w:tab/>
      </w:r>
      <w:r>
        <w:fldChar w:fldCharType="begin"/>
      </w:r>
      <w:r>
        <w:instrText xml:space="preserve"> PAGEREF _Toc21834 \h </w:instrText>
      </w:r>
      <w:r>
        <w:fldChar w:fldCharType="separate"/>
      </w:r>
      <w:r>
        <w:t>7</w:t>
      </w:r>
      <w:r>
        <w:fldChar w:fldCharType="end"/>
      </w:r>
      <w:r>
        <w:rPr>
          <w:kern w:val="2"/>
          <w:szCs w:val="21"/>
        </w:rPr>
        <w:fldChar w:fldCharType="end"/>
      </w:r>
    </w:p>
    <w:p>
      <w:pPr>
        <w:pStyle w:val="16"/>
        <w:tabs>
          <w:tab w:val="right" w:leader="dot" w:pos="9354"/>
          <w:tab w:val="clear" w:pos="9241"/>
        </w:tabs>
      </w:pPr>
      <w:r>
        <w:rPr>
          <w:kern w:val="2"/>
          <w:szCs w:val="21"/>
        </w:rPr>
        <w:fldChar w:fldCharType="begin"/>
      </w:r>
      <w:r>
        <w:rPr>
          <w:kern w:val="2"/>
          <w:szCs w:val="21"/>
        </w:rPr>
        <w:instrText xml:space="preserve"> HYPERLINK \l _Toc12442 </w:instrText>
      </w:r>
      <w:r>
        <w:rPr>
          <w:kern w:val="2"/>
          <w:szCs w:val="21"/>
        </w:rPr>
        <w:fldChar w:fldCharType="separate"/>
      </w:r>
      <w:r>
        <w:rPr>
          <w:rFonts w:hint="eastAsia" w:ascii="黑体" w:hAnsi="Times New Roman" w:eastAsia="黑体"/>
          <w:i w:val="0"/>
          <w:spacing w:val="0"/>
          <w:w w:val="100"/>
        </w:rPr>
        <w:t xml:space="preserve">附　录　B </w:t>
      </w:r>
      <w:r>
        <w:tab/>
      </w:r>
      <w:r>
        <w:fldChar w:fldCharType="begin"/>
      </w:r>
      <w:r>
        <w:instrText xml:space="preserve"> PAGEREF _Toc12442 \h </w:instrText>
      </w:r>
      <w:r>
        <w:fldChar w:fldCharType="separate"/>
      </w:r>
      <w:r>
        <w:t>8</w:t>
      </w:r>
      <w:r>
        <w:fldChar w:fldCharType="end"/>
      </w:r>
      <w:r>
        <w:rPr>
          <w:kern w:val="2"/>
          <w:szCs w:val="21"/>
        </w:rPr>
        <w:fldChar w:fldCharType="end"/>
      </w:r>
    </w:p>
    <w:p>
      <w:pPr>
        <w:pStyle w:val="16"/>
        <w:tabs>
          <w:tab w:val="right" w:leader="dot" w:pos="9354"/>
          <w:tab w:val="clear" w:pos="9241"/>
        </w:tabs>
      </w:pPr>
      <w:r>
        <w:rPr>
          <w:kern w:val="2"/>
          <w:szCs w:val="21"/>
        </w:rPr>
        <w:fldChar w:fldCharType="begin"/>
      </w:r>
      <w:r>
        <w:rPr>
          <w:kern w:val="2"/>
          <w:szCs w:val="21"/>
        </w:rPr>
        <w:instrText xml:space="preserve"> HYPERLINK \l _Toc5346 </w:instrText>
      </w:r>
      <w:r>
        <w:rPr>
          <w:kern w:val="2"/>
          <w:szCs w:val="21"/>
        </w:rPr>
        <w:fldChar w:fldCharType="separate"/>
      </w:r>
      <w:r>
        <w:rPr>
          <w:rFonts w:hint="eastAsia"/>
        </w:rPr>
        <w:t>（资料性附录）</w:t>
      </w:r>
      <w:r>
        <w:t xml:space="preserve"> </w:t>
      </w:r>
      <w:r>
        <w:rPr>
          <w:rFonts w:hint="eastAsia"/>
          <w:lang w:val="en-US" w:eastAsia="zh-CN"/>
        </w:rPr>
        <w:t>大樱桃适载品种及授粉品种</w:t>
      </w:r>
      <w:r>
        <w:tab/>
      </w:r>
      <w:r>
        <w:fldChar w:fldCharType="begin"/>
      </w:r>
      <w:r>
        <w:instrText xml:space="preserve"> PAGEREF _Toc5346 \h </w:instrText>
      </w:r>
      <w:r>
        <w:fldChar w:fldCharType="separate"/>
      </w:r>
      <w:r>
        <w:t>8</w:t>
      </w:r>
      <w:r>
        <w:fldChar w:fldCharType="end"/>
      </w:r>
      <w:r>
        <w:rPr>
          <w:kern w:val="2"/>
          <w:szCs w:val="21"/>
        </w:rPr>
        <w:fldChar w:fldCharType="end"/>
      </w:r>
    </w:p>
    <w:p>
      <w:pPr>
        <w:pStyle w:val="16"/>
        <w:tabs>
          <w:tab w:val="right" w:leader="dot" w:pos="9354"/>
          <w:tab w:val="clear" w:pos="9241"/>
        </w:tabs>
      </w:pPr>
      <w:r>
        <w:rPr>
          <w:kern w:val="2"/>
          <w:szCs w:val="21"/>
        </w:rPr>
        <w:fldChar w:fldCharType="begin"/>
      </w:r>
      <w:r>
        <w:rPr>
          <w:kern w:val="2"/>
          <w:szCs w:val="21"/>
        </w:rPr>
        <w:instrText xml:space="preserve"> HYPERLINK \l _Toc19281 </w:instrText>
      </w:r>
      <w:r>
        <w:rPr>
          <w:kern w:val="2"/>
          <w:szCs w:val="21"/>
        </w:rPr>
        <w:fldChar w:fldCharType="separate"/>
      </w:r>
      <w:r>
        <w:rPr>
          <w:rFonts w:hint="eastAsia" w:ascii="黑体" w:hAnsi="Times New Roman" w:eastAsia="黑体"/>
          <w:i w:val="0"/>
          <w:spacing w:val="0"/>
          <w:w w:val="100"/>
        </w:rPr>
        <w:t xml:space="preserve">附　录　C </w:t>
      </w:r>
      <w:r>
        <w:tab/>
      </w:r>
      <w:r>
        <w:fldChar w:fldCharType="begin"/>
      </w:r>
      <w:r>
        <w:instrText xml:space="preserve"> PAGEREF _Toc19281 \h </w:instrText>
      </w:r>
      <w:r>
        <w:fldChar w:fldCharType="separate"/>
      </w:r>
      <w:r>
        <w:t>9</w:t>
      </w:r>
      <w:r>
        <w:fldChar w:fldCharType="end"/>
      </w:r>
      <w:r>
        <w:rPr>
          <w:kern w:val="2"/>
          <w:szCs w:val="21"/>
        </w:rPr>
        <w:fldChar w:fldCharType="end"/>
      </w:r>
    </w:p>
    <w:p>
      <w:pPr>
        <w:pStyle w:val="16"/>
        <w:tabs>
          <w:tab w:val="right" w:leader="dot" w:pos="9354"/>
          <w:tab w:val="clear" w:pos="9241"/>
        </w:tabs>
      </w:pPr>
      <w:r>
        <w:rPr>
          <w:kern w:val="2"/>
          <w:szCs w:val="21"/>
        </w:rPr>
        <w:fldChar w:fldCharType="begin"/>
      </w:r>
      <w:r>
        <w:rPr>
          <w:kern w:val="2"/>
          <w:szCs w:val="21"/>
        </w:rPr>
        <w:instrText xml:space="preserve"> HYPERLINK \l _Toc27747 </w:instrText>
      </w:r>
      <w:r>
        <w:rPr>
          <w:kern w:val="2"/>
          <w:szCs w:val="21"/>
        </w:rPr>
        <w:fldChar w:fldCharType="separate"/>
      </w:r>
      <w:r>
        <w:rPr>
          <w:rFonts w:hint="eastAsia"/>
        </w:rPr>
        <w:t>（资料性附录）</w:t>
      </w:r>
      <w:r>
        <w:t xml:space="preserve"> </w:t>
      </w:r>
      <w:r>
        <w:rPr>
          <w:rFonts w:hint="eastAsia"/>
          <w:lang w:val="en-US" w:eastAsia="zh-CN"/>
        </w:rPr>
        <w:t>大樱桃不同树形适栽的品种</w:t>
      </w:r>
      <w:r>
        <w:tab/>
      </w:r>
      <w:r>
        <w:fldChar w:fldCharType="begin"/>
      </w:r>
      <w:r>
        <w:instrText xml:space="preserve"> PAGEREF _Toc27747 \h </w:instrText>
      </w:r>
      <w:r>
        <w:fldChar w:fldCharType="separate"/>
      </w:r>
      <w:r>
        <w:t>9</w:t>
      </w:r>
      <w:r>
        <w:fldChar w:fldCharType="end"/>
      </w:r>
      <w:r>
        <w:rPr>
          <w:kern w:val="2"/>
          <w:szCs w:val="21"/>
        </w:rPr>
        <w:fldChar w:fldCharType="end"/>
      </w:r>
    </w:p>
    <w:p>
      <w:pPr>
        <w:pStyle w:val="20"/>
      </w:pPr>
      <w:r>
        <w:rPr>
          <w:kern w:val="2"/>
          <w:szCs w:val="21"/>
        </w:rPr>
        <w:fldChar w:fldCharType="end"/>
      </w:r>
    </w:p>
    <w:p>
      <w:pPr>
        <w:pStyle w:val="109"/>
      </w:pPr>
      <w:bookmarkStart w:id="17" w:name="_Toc31254"/>
      <w:r>
        <w:rPr>
          <w:rFonts w:hint="eastAsia"/>
        </w:rPr>
        <w:t>前</w:t>
      </w:r>
      <w:bookmarkStart w:id="18" w:name="BKQY"/>
      <w:r>
        <w:rPr>
          <w:rFonts w:hAnsi="黑体"/>
        </w:rPr>
        <w:t>  </w:t>
      </w:r>
      <w:r>
        <w:rPr>
          <w:rFonts w:hint="eastAsia"/>
        </w:rPr>
        <w:t>言</w:t>
      </w:r>
      <w:bookmarkEnd w:id="17"/>
      <w:bookmarkEnd w:id="18"/>
    </w:p>
    <w:p>
      <w:pPr>
        <w:ind w:firstLine="420" w:firstLineChars="200"/>
      </w:pPr>
      <w:r>
        <w:rPr>
          <w:rFonts w:hint="eastAsia"/>
        </w:rPr>
        <w:t>本文件按照GB/T 1.1-2020 《标准化工作导则 第1部分：标准化文件的结构和起草规则》的规定起草。</w:t>
      </w:r>
    </w:p>
    <w:p>
      <w:pPr>
        <w:ind w:firstLine="420" w:firstLineChars="200"/>
      </w:pPr>
      <w:r>
        <w:rPr>
          <w:rFonts w:hint="eastAsia"/>
        </w:rPr>
        <w:t>本文件代替DB14/T 793—2013《大樱桃生产栽培技术规程</w:t>
      </w:r>
      <w:bookmarkStart w:id="80" w:name="_GoBack"/>
      <w:bookmarkEnd w:id="80"/>
      <w:r>
        <w:rPr>
          <w:rFonts w:hint="eastAsia"/>
        </w:rPr>
        <w:t>》，与DB14/T793—2013相比，除结构调整和编辑性改动外，主要技术变化如下:</w:t>
      </w:r>
    </w:p>
    <w:p>
      <w:pPr>
        <w:ind w:firstLine="420" w:firstLineChars="200"/>
        <w:rPr>
          <w:rFonts w:hint="eastAsia"/>
        </w:rPr>
      </w:pPr>
      <w:r>
        <w:rPr>
          <w:rFonts w:hint="eastAsia"/>
        </w:rPr>
        <w:t>——标准题目改为“大樱桃栽培技术规程”.</w:t>
      </w:r>
    </w:p>
    <w:p>
      <w:pPr>
        <w:ind w:firstLine="420" w:firstLineChars="200"/>
        <w:rPr>
          <w:rFonts w:hint="eastAsia"/>
        </w:rPr>
      </w:pPr>
      <w:r>
        <w:rPr>
          <w:rFonts w:hint="eastAsia"/>
        </w:rPr>
        <w:t>——删除了“4</w:t>
      </w:r>
      <w:r>
        <w:rPr>
          <w:rFonts w:hint="eastAsia"/>
          <w:lang w:val="en-US" w:eastAsia="zh-CN"/>
        </w:rPr>
        <w:t xml:space="preserve"> </w:t>
      </w:r>
      <w:r>
        <w:rPr>
          <w:rFonts w:hint="eastAsia"/>
        </w:rPr>
        <w:t>苗木培育”</w:t>
      </w:r>
    </w:p>
    <w:p>
      <w:pPr>
        <w:ind w:firstLine="420" w:firstLineChars="200"/>
        <w:rPr>
          <w:rFonts w:hint="eastAsia"/>
        </w:rPr>
      </w:pPr>
      <w:r>
        <w:rPr>
          <w:rFonts w:hint="eastAsia"/>
        </w:rPr>
        <w:t>——</w:t>
      </w:r>
      <w:r>
        <w:rPr>
          <w:rFonts w:hint="eastAsia"/>
          <w:lang w:val="en-US" w:eastAsia="zh-CN"/>
        </w:rPr>
        <w:t>更改</w:t>
      </w:r>
      <w:r>
        <w:rPr>
          <w:rFonts w:hint="eastAsia"/>
        </w:rPr>
        <w:t>“6</w:t>
      </w:r>
      <w:r>
        <w:rPr>
          <w:rFonts w:hint="eastAsia"/>
          <w:lang w:val="en-US" w:eastAsia="zh-CN"/>
        </w:rPr>
        <w:t xml:space="preserve"> </w:t>
      </w:r>
      <w:r>
        <w:rPr>
          <w:rFonts w:hint="eastAsia"/>
        </w:rPr>
        <w:t>土肥水管理”为“7</w:t>
      </w:r>
      <w:r>
        <w:rPr>
          <w:rFonts w:hint="eastAsia"/>
          <w:lang w:val="en-US" w:eastAsia="zh-CN"/>
        </w:rPr>
        <w:t xml:space="preserve"> </w:t>
      </w:r>
      <w:r>
        <w:rPr>
          <w:rFonts w:hint="eastAsia"/>
        </w:rPr>
        <w:t>土肥水管理”</w:t>
      </w:r>
    </w:p>
    <w:p>
      <w:pPr>
        <w:ind w:firstLine="420" w:firstLineChars="200"/>
        <w:rPr>
          <w:rFonts w:hint="eastAsia"/>
        </w:rPr>
      </w:pPr>
      <w:r>
        <w:rPr>
          <w:rFonts w:hint="eastAsia"/>
        </w:rPr>
        <w:t>——更改了中国樱桃，改为中国大叶樱桃（见4.2</w:t>
      </w:r>
    </w:p>
    <w:p>
      <w:pPr>
        <w:ind w:firstLine="420" w:firstLineChars="200"/>
        <w:rPr>
          <w:rFonts w:hint="default" w:eastAsia="宋体"/>
          <w:lang w:val="en-US" w:eastAsia="zh-CN"/>
        </w:rPr>
      </w:pPr>
      <w:r>
        <w:rPr>
          <w:rFonts w:hint="eastAsia"/>
        </w:rPr>
        <w:t>——</w:t>
      </w:r>
      <w:r>
        <w:rPr>
          <w:rFonts w:hint="eastAsia"/>
          <w:lang w:val="en-US" w:eastAsia="zh-CN"/>
        </w:rPr>
        <w:t xml:space="preserve"> 4.3和4.4合并为“4.3 品种选择与授粉树的配置”                                                                                                                                                                                                                                                                                                                                                                                </w:t>
      </w:r>
    </w:p>
    <w:p>
      <w:pPr>
        <w:ind w:firstLine="420" w:firstLineChars="200"/>
        <w:rPr>
          <w:rFonts w:hint="eastAsia"/>
          <w:lang w:val="en-US" w:eastAsia="zh-CN"/>
        </w:rPr>
      </w:pPr>
      <w:r>
        <w:rPr>
          <w:rFonts w:hint="eastAsia"/>
        </w:rPr>
        <w:t>——</w:t>
      </w:r>
      <w:r>
        <w:rPr>
          <w:rFonts w:hint="eastAsia"/>
          <w:lang w:val="en-US" w:eastAsia="zh-CN"/>
        </w:rPr>
        <w:t>更改“整形方式”为“整形”（见5.1）</w:t>
      </w:r>
    </w:p>
    <w:p>
      <w:pPr>
        <w:ind w:firstLine="420" w:firstLineChars="200"/>
      </w:pPr>
      <w:r>
        <w:rPr>
          <w:rFonts w:hint="eastAsia"/>
        </w:rPr>
        <w:t>——增加了主栽品种俄罗斯八号、布鲁克斯（见5.3）</w:t>
      </w:r>
    </w:p>
    <w:p>
      <w:pPr>
        <w:ind w:firstLine="420" w:firstLineChars="200"/>
        <w:rPr>
          <w:rFonts w:hint="eastAsia"/>
        </w:rPr>
      </w:pPr>
      <w:r>
        <w:rPr>
          <w:rFonts w:hint="eastAsia"/>
        </w:rPr>
        <w:t>——增加了KGB树形（见</w:t>
      </w:r>
      <w:r>
        <w:rPr>
          <w:rFonts w:hint="eastAsia"/>
          <w:lang w:val="en-US" w:eastAsia="zh-CN"/>
        </w:rPr>
        <w:t>5</w:t>
      </w:r>
      <w:r>
        <w:rPr>
          <w:rFonts w:hint="eastAsia"/>
        </w:rPr>
        <w:t>.1.3）</w:t>
      </w:r>
    </w:p>
    <w:p>
      <w:pPr>
        <w:ind w:firstLine="420" w:firstLineChars="200"/>
        <w:rPr>
          <w:rFonts w:hint="default" w:eastAsia="宋体"/>
          <w:lang w:val="en-US" w:eastAsia="zh-CN"/>
        </w:rPr>
      </w:pPr>
      <w:r>
        <w:rPr>
          <w:rFonts w:hint="eastAsia"/>
        </w:rPr>
        <w:t>——</w:t>
      </w:r>
      <w:r>
        <w:rPr>
          <w:rFonts w:hint="eastAsia"/>
          <w:lang w:val="en-US" w:eastAsia="zh-CN"/>
        </w:rPr>
        <w:t>更改</w:t>
      </w:r>
      <w:r>
        <w:rPr>
          <w:rFonts w:hint="eastAsia"/>
          <w:lang w:eastAsia="zh-CN"/>
        </w:rPr>
        <w:t>“</w:t>
      </w:r>
      <w:r>
        <w:rPr>
          <w:rFonts w:hint="eastAsia"/>
          <w:lang w:val="en-US" w:eastAsia="zh-CN"/>
        </w:rPr>
        <w:t>霜冻危害</w:t>
      </w:r>
      <w:r>
        <w:rPr>
          <w:rFonts w:hint="eastAsia"/>
          <w:lang w:eastAsia="zh-CN"/>
        </w:rPr>
        <w:t>”</w:t>
      </w:r>
      <w:r>
        <w:rPr>
          <w:rFonts w:hint="eastAsia"/>
          <w:lang w:val="en-US" w:eastAsia="zh-CN"/>
        </w:rPr>
        <w:t>为“预防霜冻”（见6.1）</w:t>
      </w:r>
    </w:p>
    <w:p>
      <w:pPr>
        <w:ind w:firstLine="420" w:firstLineChars="200"/>
        <w:rPr>
          <w:rFonts w:hint="eastAsia"/>
          <w:lang w:val="en-US" w:eastAsia="zh-CN"/>
        </w:rPr>
      </w:pPr>
      <w:r>
        <w:rPr>
          <w:rFonts w:hint="eastAsia"/>
        </w:rPr>
        <w:t>——</w:t>
      </w:r>
      <w:r>
        <w:rPr>
          <w:rFonts w:hint="eastAsia"/>
          <w:lang w:val="en-US" w:eastAsia="zh-CN"/>
        </w:rPr>
        <w:t>更改</w:t>
      </w:r>
      <w:r>
        <w:rPr>
          <w:rFonts w:hint="eastAsia"/>
          <w:lang w:eastAsia="zh-CN"/>
        </w:rPr>
        <w:t>“</w:t>
      </w:r>
      <w:r>
        <w:rPr>
          <w:rFonts w:hint="eastAsia"/>
          <w:lang w:val="en-US" w:eastAsia="zh-CN"/>
        </w:rPr>
        <w:t>防止和减轻裂果</w:t>
      </w:r>
      <w:r>
        <w:rPr>
          <w:rFonts w:hint="eastAsia"/>
          <w:lang w:eastAsia="zh-CN"/>
        </w:rPr>
        <w:t>”</w:t>
      </w:r>
      <w:r>
        <w:rPr>
          <w:rFonts w:hint="eastAsia"/>
          <w:lang w:val="en-US" w:eastAsia="zh-CN"/>
        </w:rPr>
        <w:t>为“预防裂果”（见6.3）</w:t>
      </w:r>
    </w:p>
    <w:p>
      <w:pPr>
        <w:ind w:firstLine="420" w:firstLineChars="200"/>
        <w:rPr>
          <w:rFonts w:hint="eastAsia"/>
          <w:lang w:val="en-US" w:eastAsia="zh-CN"/>
        </w:rPr>
      </w:pPr>
      <w:r>
        <w:rPr>
          <w:rFonts w:hint="eastAsia"/>
        </w:rPr>
        <w:t>——</w:t>
      </w:r>
      <w:r>
        <w:rPr>
          <w:rFonts w:hint="eastAsia"/>
          <w:lang w:val="en-US" w:eastAsia="zh-CN"/>
        </w:rPr>
        <w:t>更改</w:t>
      </w:r>
      <w:r>
        <w:rPr>
          <w:rFonts w:hint="eastAsia"/>
          <w:lang w:eastAsia="zh-CN"/>
        </w:rPr>
        <w:t>“</w:t>
      </w:r>
      <w:r>
        <w:rPr>
          <w:rFonts w:hint="eastAsia"/>
          <w:lang w:val="en-US" w:eastAsia="zh-CN"/>
        </w:rPr>
        <w:t>促进果实着色</w:t>
      </w:r>
      <w:r>
        <w:rPr>
          <w:rFonts w:hint="eastAsia"/>
          <w:lang w:eastAsia="zh-CN"/>
        </w:rPr>
        <w:t>”</w:t>
      </w:r>
      <w:r>
        <w:rPr>
          <w:rFonts w:hint="eastAsia"/>
          <w:lang w:val="en-US" w:eastAsia="zh-CN"/>
        </w:rPr>
        <w:t>为“促进着色”（见6.5）</w:t>
      </w:r>
    </w:p>
    <w:p>
      <w:pPr>
        <w:ind w:firstLine="420" w:firstLineChars="200"/>
        <w:rPr>
          <w:rFonts w:hint="default" w:eastAsia="宋体"/>
          <w:lang w:val="en-US" w:eastAsia="zh-CN"/>
        </w:rPr>
      </w:pPr>
      <w:r>
        <w:rPr>
          <w:rFonts w:hint="eastAsia"/>
        </w:rPr>
        <w:t>——</w:t>
      </w:r>
      <w:r>
        <w:rPr>
          <w:rFonts w:hint="eastAsia"/>
          <w:lang w:val="en-US" w:eastAsia="zh-CN"/>
        </w:rPr>
        <w:t>更改</w:t>
      </w:r>
      <w:r>
        <w:rPr>
          <w:rFonts w:hint="eastAsia"/>
          <w:lang w:eastAsia="zh-CN"/>
        </w:rPr>
        <w:t>“</w:t>
      </w:r>
      <w:r>
        <w:rPr>
          <w:rFonts w:hint="eastAsia"/>
          <w:lang w:val="en-US" w:eastAsia="zh-CN"/>
        </w:rPr>
        <w:t>合理施肥</w:t>
      </w:r>
      <w:r>
        <w:rPr>
          <w:rFonts w:hint="eastAsia"/>
          <w:lang w:eastAsia="zh-CN"/>
        </w:rPr>
        <w:t>”</w:t>
      </w:r>
      <w:r>
        <w:rPr>
          <w:rFonts w:hint="eastAsia"/>
          <w:lang w:val="en-US" w:eastAsia="zh-CN"/>
        </w:rPr>
        <w:t>为“施肥”（见7.2）</w:t>
      </w:r>
    </w:p>
    <w:p>
      <w:pPr>
        <w:ind w:firstLine="420" w:firstLineChars="200"/>
        <w:rPr>
          <w:rFonts w:hint="default" w:eastAsia="宋体"/>
          <w:lang w:val="en-US" w:eastAsia="zh-CN"/>
        </w:rPr>
      </w:pPr>
      <w:r>
        <w:rPr>
          <w:rFonts w:hint="eastAsia"/>
        </w:rPr>
        <w:t>——</w:t>
      </w:r>
      <w:r>
        <w:rPr>
          <w:rFonts w:hint="eastAsia"/>
          <w:lang w:val="en-US" w:eastAsia="zh-CN"/>
        </w:rPr>
        <w:t>更改</w:t>
      </w:r>
      <w:r>
        <w:rPr>
          <w:rFonts w:hint="eastAsia"/>
          <w:lang w:eastAsia="zh-CN"/>
        </w:rPr>
        <w:t>“</w:t>
      </w:r>
      <w:r>
        <w:rPr>
          <w:rFonts w:hint="eastAsia"/>
          <w:lang w:val="en-US" w:eastAsia="zh-CN"/>
        </w:rPr>
        <w:t>秋季基肥</w:t>
      </w:r>
      <w:r>
        <w:rPr>
          <w:rFonts w:hint="eastAsia"/>
          <w:lang w:eastAsia="zh-CN"/>
        </w:rPr>
        <w:t>”</w:t>
      </w:r>
      <w:r>
        <w:rPr>
          <w:rFonts w:hint="eastAsia"/>
          <w:lang w:val="en-US" w:eastAsia="zh-CN"/>
        </w:rPr>
        <w:t>为“基肥”（见7.2.1）</w:t>
      </w:r>
    </w:p>
    <w:p>
      <w:pPr>
        <w:ind w:firstLine="420" w:firstLineChars="200"/>
      </w:pPr>
      <w:r>
        <w:rPr>
          <w:rFonts w:hint="eastAsia"/>
        </w:rPr>
        <w:t>——增加了超声波驱鸟器、驱鸟剂（见.</w:t>
      </w:r>
      <w:r>
        <w:rPr>
          <w:rFonts w:hint="eastAsia"/>
          <w:lang w:val="en-US" w:eastAsia="zh-CN"/>
        </w:rPr>
        <w:t>6</w:t>
      </w:r>
      <w:r>
        <w:rPr>
          <w:rFonts w:hint="eastAsia"/>
        </w:rPr>
        <w:t>.5）</w:t>
      </w:r>
    </w:p>
    <w:p>
      <w:pPr>
        <w:ind w:firstLine="420" w:firstLineChars="200"/>
        <w:rPr>
          <w:rFonts w:hint="eastAsia"/>
        </w:rPr>
      </w:pPr>
      <w:r>
        <w:rPr>
          <w:rFonts w:hint="eastAsia"/>
        </w:rPr>
        <w:t>——删除了疏花和疏果.（见.</w:t>
      </w:r>
      <w:r>
        <w:rPr>
          <w:rFonts w:hint="eastAsia"/>
          <w:lang w:val="en-US" w:eastAsia="zh-CN"/>
        </w:rPr>
        <w:t>6</w:t>
      </w:r>
      <w:r>
        <w:rPr>
          <w:rFonts w:hint="eastAsia"/>
        </w:rPr>
        <w:t>.3）</w:t>
      </w:r>
    </w:p>
    <w:p>
      <w:pPr>
        <w:ind w:firstLine="420" w:firstLineChars="200"/>
        <w:rPr>
          <w:rFonts w:hint="default"/>
          <w:lang w:val="en-US" w:eastAsia="zh-CN"/>
        </w:rPr>
      </w:pPr>
      <w:r>
        <w:rPr>
          <w:rFonts w:hint="eastAsia"/>
        </w:rPr>
        <w:t>——</w:t>
      </w:r>
      <w:r>
        <w:rPr>
          <w:rFonts w:hint="eastAsia"/>
          <w:lang w:val="en-US" w:eastAsia="zh-CN"/>
        </w:rPr>
        <w:t>删除全文“一般”的表述</w:t>
      </w:r>
    </w:p>
    <w:p>
      <w:pPr>
        <w:ind w:firstLine="420" w:firstLineChars="200"/>
        <w:rPr>
          <w:rFonts w:hint="default"/>
          <w:lang w:val="en-US" w:eastAsia="zh-CN"/>
        </w:rPr>
      </w:pPr>
      <w:r>
        <w:rPr>
          <w:rFonts w:hint="eastAsia"/>
        </w:rPr>
        <w:t>——</w:t>
      </w:r>
      <w:r>
        <w:rPr>
          <w:rFonts w:hint="eastAsia"/>
          <w:lang w:val="en-US" w:eastAsia="zh-CN"/>
        </w:rPr>
        <w:t>增加“10生产档案”</w:t>
      </w:r>
    </w:p>
    <w:p>
      <w:pPr>
        <w:ind w:firstLine="420" w:firstLineChars="200"/>
      </w:pPr>
      <w:r>
        <w:rPr>
          <w:rFonts w:hint="eastAsia"/>
        </w:rPr>
        <w:t>本文件由山西省农业农村厅提出、组织实施和监督检查。</w:t>
      </w:r>
    </w:p>
    <w:p>
      <w:pPr>
        <w:ind w:firstLine="420" w:firstLineChars="200"/>
      </w:pPr>
      <w:r>
        <w:rPr>
          <w:rFonts w:hint="eastAsia"/>
        </w:rPr>
        <w:t>本文件由山西省市场监督管理局对标准的组织实施情况进行监督检查。</w:t>
      </w:r>
    </w:p>
    <w:p>
      <w:pPr>
        <w:ind w:firstLine="420" w:firstLineChars="200"/>
      </w:pPr>
      <w:r>
        <w:rPr>
          <w:rFonts w:hint="eastAsia"/>
        </w:rPr>
        <w:t>本文件由山西省农业标准化技术委员会（SXS/TC19)归口。</w:t>
      </w:r>
    </w:p>
    <w:p>
      <w:pPr>
        <w:ind w:firstLine="420" w:firstLineChars="200"/>
      </w:pPr>
      <w:r>
        <w:rPr>
          <w:rFonts w:hint="eastAsia"/>
        </w:rPr>
        <w:t>本文件起草单位：山西农业大学果树研究所。</w:t>
      </w:r>
    </w:p>
    <w:p>
      <w:pPr>
        <w:ind w:firstLine="420" w:firstLineChars="200"/>
      </w:pPr>
      <w:r>
        <w:rPr>
          <w:rFonts w:hint="eastAsia"/>
        </w:rPr>
        <w:t>本文件主要起草人：张生智、张未仲、吴晓璇、窦彦鑫、孙俊宝、王红宁。</w:t>
      </w:r>
    </w:p>
    <w:p>
      <w:pPr>
        <w:ind w:firstLine="420" w:firstLineChars="200"/>
      </w:pPr>
      <w:r>
        <w:rPr>
          <w:rFonts w:hint="eastAsia"/>
        </w:rPr>
        <w:t>本文件及其所代替文件的历次版本发布情况为：</w:t>
      </w:r>
    </w:p>
    <w:p>
      <w:pPr>
        <w:ind w:firstLine="420" w:firstLineChars="200"/>
      </w:pPr>
      <w:r>
        <w:rPr>
          <w:rFonts w:hint="eastAsia"/>
        </w:rPr>
        <w:t>——2013年首次发布为DB14/T 793—2013；</w:t>
      </w:r>
    </w:p>
    <w:p>
      <w:pPr>
        <w:ind w:firstLine="420" w:firstLineChars="200"/>
      </w:pPr>
      <w:r>
        <w:rPr>
          <w:rFonts w:hint="eastAsia"/>
        </w:rPr>
        <w:t>——本次为第一次修订。</w:t>
      </w:r>
    </w:p>
    <w:p>
      <w:pPr>
        <w:pStyle w:val="20"/>
      </w:pPr>
    </w:p>
    <w:p>
      <w:pPr>
        <w:pStyle w:val="20"/>
        <w:rPr>
          <w:rFonts w:hint="default" w:eastAsia="宋体"/>
          <w:lang w:val="en-US" w:eastAsia="zh-CN"/>
        </w:rPr>
        <w:sectPr>
          <w:headerReference r:id="rId3" w:type="default"/>
          <w:footerReference r:id="rId4" w:type="default"/>
          <w:pgSz w:w="11906" w:h="16838"/>
          <w:pgMar w:top="567" w:right="1134" w:bottom="1134" w:left="1418" w:header="1418" w:footer="1134" w:gutter="0"/>
          <w:pgNumType w:fmt="upperRoman" w:start="1"/>
          <w:cols w:space="720" w:num="1"/>
          <w:formProt w:val="0"/>
          <w:docGrid w:type="lines" w:linePitch="312" w:charSpace="0"/>
        </w:sectPr>
      </w:pPr>
      <w:r>
        <w:rPr>
          <w:rFonts w:hint="eastAsia"/>
          <w:lang w:val="en-US" w:eastAsia="zh-CN"/>
        </w:rPr>
        <w:t xml:space="preserve">                              </w:t>
      </w:r>
    </w:p>
    <w:p>
      <w:pPr>
        <w:pStyle w:val="47"/>
      </w:pPr>
      <w:bookmarkStart w:id="19" w:name="StandardName"/>
      <w:r>
        <w:rPr>
          <w:rFonts w:hint="eastAsia"/>
        </w:rPr>
        <w:t>大樱桃栽培技术规程</w:t>
      </w:r>
      <w:bookmarkEnd w:id="19"/>
    </w:p>
    <w:p>
      <w:pPr>
        <w:pStyle w:val="42"/>
        <w:spacing w:before="312" w:after="312"/>
      </w:pPr>
      <w:bookmarkStart w:id="20" w:name="_Toc30968"/>
      <w:r>
        <w:rPr>
          <w:rFonts w:hint="eastAsia"/>
        </w:rPr>
        <w:t>范围</w:t>
      </w:r>
      <w:bookmarkEnd w:id="20"/>
    </w:p>
    <w:p>
      <w:pPr>
        <w:pStyle w:val="20"/>
      </w:pPr>
      <w:r>
        <w:rPr>
          <w:rFonts w:hint="eastAsia"/>
        </w:rPr>
        <w:t>本标准规定了大樱桃适栽区域、苗木培育、建园、土肥水管理、整形修剪、花果管理、病虫害综合防治和果实采收生产技术。</w:t>
      </w:r>
    </w:p>
    <w:p>
      <w:pPr>
        <w:pStyle w:val="20"/>
      </w:pPr>
      <w:r>
        <w:rPr>
          <w:rFonts w:hint="eastAsia"/>
        </w:rPr>
        <w:t>本标准适用于山西省太原市以南地区大樱桃的露地生产。</w:t>
      </w:r>
    </w:p>
    <w:p>
      <w:pPr>
        <w:pStyle w:val="42"/>
        <w:spacing w:before="312" w:after="312"/>
      </w:pPr>
      <w:bookmarkStart w:id="21" w:name="_Toc21443"/>
      <w:r>
        <w:rPr>
          <w:rFonts w:hint="eastAsia"/>
        </w:rPr>
        <w:t>规范性引用文件</w:t>
      </w:r>
      <w:bookmarkEnd w:id="21"/>
    </w:p>
    <w:p>
      <w:pPr>
        <w:pStyle w:val="20"/>
      </w:pPr>
      <w:r>
        <w:rPr>
          <w:rFonts w:hint="eastAsia"/>
        </w:rPr>
        <w:t>下列文件对于本文件的应用是必不可少的。凡是注日期的引用文件，仅所注日期的版本适用于本文件。凡是不注日期的引用文件，其最新版本（包括所有的修改单）适用于本文件。</w:t>
      </w:r>
    </w:p>
    <w:p>
      <w:pPr>
        <w:pStyle w:val="20"/>
      </w:pPr>
      <w:r>
        <w:rPr>
          <w:rFonts w:hint="eastAsia"/>
        </w:rPr>
        <w:t>GB/T 8321  农药合理使用准则（所有部分）</w:t>
      </w:r>
    </w:p>
    <w:p>
      <w:pPr>
        <w:pStyle w:val="20"/>
      </w:pPr>
      <w:r>
        <w:rPr>
          <w:rFonts w:hint="eastAsia"/>
        </w:rPr>
        <w:t>NY/T 496  肥料合理使用准则（通用）</w:t>
      </w:r>
    </w:p>
    <w:p>
      <w:pPr>
        <w:pStyle w:val="42"/>
        <w:spacing w:before="312" w:after="312"/>
      </w:pPr>
      <w:bookmarkStart w:id="22" w:name="_Toc4608"/>
      <w:r>
        <w:rPr>
          <w:rFonts w:hint="eastAsia"/>
        </w:rPr>
        <w:t>产地条件</w:t>
      </w:r>
      <w:bookmarkEnd w:id="22"/>
    </w:p>
    <w:p>
      <w:pPr>
        <w:pStyle w:val="20"/>
      </w:pPr>
      <w:r>
        <w:rPr>
          <w:rFonts w:hint="eastAsia"/>
        </w:rPr>
        <w:t>大樱桃的生长环境要求年平均气温8</w:t>
      </w:r>
      <w:r>
        <w:rPr>
          <w:rFonts w:hint="eastAsia" w:hAnsi="宋体"/>
        </w:rPr>
        <w:t>℃</w:t>
      </w:r>
      <w:r>
        <w:rPr>
          <w:rFonts w:hint="eastAsia"/>
        </w:rPr>
        <w:t>～12</w:t>
      </w:r>
      <w:r>
        <w:rPr>
          <w:rFonts w:hint="eastAsia" w:hAnsi="宋体"/>
        </w:rPr>
        <w:t>℃</w:t>
      </w:r>
      <w:r>
        <w:rPr>
          <w:rFonts w:hint="eastAsia"/>
        </w:rPr>
        <w:t>，</w:t>
      </w:r>
      <w:r>
        <w:rPr>
          <w:rFonts w:hint="eastAsia"/>
          <w:lang w:val="en-US" w:eastAsia="zh-CN"/>
        </w:rPr>
        <w:t>无霜期&gt;140d。</w:t>
      </w:r>
      <w:r>
        <w:rPr>
          <w:rFonts w:hint="eastAsia"/>
        </w:rPr>
        <w:t>一年中日平均气温高于10</w:t>
      </w:r>
      <w:r>
        <w:rPr>
          <w:rFonts w:hint="eastAsia" w:hAnsi="宋体"/>
        </w:rPr>
        <w:t>℃</w:t>
      </w:r>
      <w:r>
        <w:rPr>
          <w:rFonts w:hint="eastAsia"/>
        </w:rPr>
        <w:t>的时间为150d～200d，冬季绝对低温不低于-25</w:t>
      </w:r>
      <w:r>
        <w:rPr>
          <w:rFonts w:hint="eastAsia" w:hAnsi="宋体"/>
        </w:rPr>
        <w:t>℃</w:t>
      </w:r>
      <w:r>
        <w:rPr>
          <w:rFonts w:hint="eastAsia" w:hAnsi="宋体"/>
          <w:lang w:val="en-US" w:eastAsia="zh-CN"/>
        </w:rPr>
        <w:t>,有效积温700</w:t>
      </w:r>
      <w:r>
        <w:rPr>
          <w:rFonts w:hint="eastAsia"/>
        </w:rPr>
        <w:t>～</w:t>
      </w:r>
      <w:r>
        <w:rPr>
          <w:rFonts w:hint="eastAsia" w:hAnsi="宋体"/>
          <w:lang w:val="en-US" w:eastAsia="zh-CN"/>
        </w:rPr>
        <w:t>1400</w:t>
      </w:r>
      <w:r>
        <w:rPr>
          <w:rFonts w:hint="eastAsia" w:hAnsi="宋体"/>
        </w:rPr>
        <w:t>℃</w:t>
      </w:r>
      <w:r>
        <w:rPr>
          <w:rFonts w:hint="eastAsia"/>
        </w:rPr>
        <w:t>；年日照时数1200h～2800h；年降水量300mm～900mm；土壤pH值6.0～8.0</w:t>
      </w:r>
      <w:r>
        <w:rPr>
          <w:rFonts w:hint="eastAsia"/>
          <w:lang w:eastAsia="zh-CN"/>
        </w:rPr>
        <w:t>，</w:t>
      </w:r>
      <w:r>
        <w:rPr>
          <w:rFonts w:hint="eastAsia"/>
          <w:lang w:val="en-US" w:eastAsia="zh-CN"/>
        </w:rPr>
        <w:t>总盐量&lt;0.1%，氯离子含量&lt;0.02%。</w:t>
      </w:r>
    </w:p>
    <w:p>
      <w:pPr>
        <w:pStyle w:val="42"/>
        <w:spacing w:before="312" w:after="312"/>
      </w:pPr>
      <w:bookmarkStart w:id="23" w:name="_Toc11421"/>
      <w:bookmarkStart w:id="24" w:name="_Toc370985927"/>
      <w:bookmarkStart w:id="25" w:name="_Toc371410095"/>
      <w:bookmarkStart w:id="26" w:name="_Toc370752288"/>
      <w:bookmarkStart w:id="27" w:name="_Toc371432177"/>
      <w:bookmarkStart w:id="28" w:name="_Toc370746609"/>
      <w:bookmarkStart w:id="29" w:name="_Toc371373833"/>
      <w:r>
        <w:rPr>
          <w:rFonts w:hint="eastAsia"/>
        </w:rPr>
        <w:t>建园</w:t>
      </w:r>
      <w:bookmarkEnd w:id="23"/>
      <w:bookmarkEnd w:id="24"/>
      <w:bookmarkEnd w:id="25"/>
      <w:bookmarkEnd w:id="26"/>
      <w:bookmarkEnd w:id="27"/>
      <w:bookmarkEnd w:id="28"/>
      <w:bookmarkEnd w:id="29"/>
    </w:p>
    <w:p>
      <w:pPr>
        <w:pStyle w:val="39"/>
        <w:spacing w:before="156" w:after="156"/>
      </w:pPr>
      <w:r>
        <w:rPr>
          <w:rFonts w:hint="eastAsia"/>
        </w:rPr>
        <w:t>园地选择</w:t>
      </w:r>
    </w:p>
    <w:p>
      <w:pPr>
        <w:pStyle w:val="20"/>
        <w:rPr>
          <w:szCs w:val="21"/>
        </w:rPr>
      </w:pPr>
      <w:r>
        <w:rPr>
          <w:rFonts w:hint="eastAsia"/>
        </w:rPr>
        <w:t>选择土</w:t>
      </w:r>
      <w:r>
        <w:rPr>
          <w:rFonts w:hint="eastAsia"/>
          <w:lang w:val="en-US" w:eastAsia="zh-CN"/>
        </w:rPr>
        <w:t>层</w:t>
      </w:r>
      <w:r>
        <w:rPr>
          <w:rFonts w:hint="eastAsia"/>
        </w:rPr>
        <w:t>深厚，不积水，有灌溉条件的壤土或沙壤土，且周围环境、土壤未被污染。</w:t>
      </w:r>
      <w:r>
        <w:rPr>
          <w:rFonts w:hint="eastAsia"/>
          <w:szCs w:val="21"/>
        </w:rPr>
        <w:t>不宜选重茬地及土壤贫瘠的地块。</w:t>
      </w:r>
      <w:r>
        <w:rPr>
          <w:rFonts w:hint="eastAsia"/>
        </w:rPr>
        <w:t>平原地最好选择在村庄的南部，或者是北面有防护林的地方；山丘地最好选择背风向阳的上半坡，不能选择山沟里的坝头地。</w:t>
      </w:r>
    </w:p>
    <w:p>
      <w:pPr>
        <w:pStyle w:val="39"/>
        <w:spacing w:before="156" w:after="156"/>
      </w:pPr>
      <w:r>
        <w:rPr>
          <w:rFonts w:hint="eastAsia"/>
        </w:rPr>
        <w:t>园地规划</w:t>
      </w:r>
    </w:p>
    <w:p>
      <w:pPr>
        <w:pStyle w:val="20"/>
      </w:pPr>
      <w:r>
        <w:rPr>
          <w:rFonts w:hint="eastAsia"/>
        </w:rPr>
        <w:t>在选定的园地上，对栽植、排灌系统以及作业道路等场地进行统一规划。同时，风沙危害的地方，要营造好防护林。</w:t>
      </w:r>
    </w:p>
    <w:p>
      <w:pPr>
        <w:pStyle w:val="39"/>
        <w:spacing w:before="156" w:after="156"/>
      </w:pPr>
      <w:bookmarkStart w:id="30" w:name="_Toc370752285"/>
      <w:bookmarkStart w:id="31" w:name="_Toc370746606"/>
      <w:bookmarkStart w:id="32" w:name="_Toc370985924"/>
      <w:r>
        <w:rPr>
          <w:rFonts w:hint="eastAsia"/>
        </w:rPr>
        <w:t>品种选择</w:t>
      </w:r>
      <w:bookmarkEnd w:id="30"/>
      <w:bookmarkEnd w:id="31"/>
      <w:bookmarkEnd w:id="32"/>
      <w:r>
        <w:rPr>
          <w:rFonts w:hint="eastAsia"/>
          <w:lang w:val="en-US" w:eastAsia="zh-CN"/>
        </w:rPr>
        <w:t>与授粉树的配置</w:t>
      </w:r>
    </w:p>
    <w:p>
      <w:pPr>
        <w:pStyle w:val="20"/>
        <w:rPr>
          <w:rFonts w:hint="default" w:eastAsia="宋体"/>
          <w:lang w:val="en-US" w:eastAsia="zh-CN"/>
        </w:rPr>
      </w:pPr>
      <w:r>
        <w:rPr>
          <w:rFonts w:hint="eastAsia"/>
        </w:rPr>
        <w:t>适宜山西栽培的主栽品种</w:t>
      </w:r>
      <w:r>
        <w:rPr>
          <w:rFonts w:hint="eastAsia"/>
          <w:lang w:eastAsia="zh-CN"/>
        </w:rPr>
        <w:t>，</w:t>
      </w:r>
      <w:r>
        <w:rPr>
          <w:rFonts w:hint="eastAsia"/>
          <w:lang w:val="en-US" w:eastAsia="zh-CN"/>
        </w:rPr>
        <w:t>每个主栽品种</w:t>
      </w:r>
      <w:r>
        <w:rPr>
          <w:rFonts w:hint="eastAsia"/>
        </w:rPr>
        <w:t>配置2</w:t>
      </w:r>
      <w:r>
        <w:rPr>
          <w:rFonts w:hint="eastAsia"/>
          <w:lang w:val="en-US" w:eastAsia="zh-CN"/>
        </w:rPr>
        <w:t>-</w:t>
      </w:r>
      <w:r>
        <w:rPr>
          <w:rFonts w:hint="eastAsia"/>
        </w:rPr>
        <w:t>3个授粉品种，授粉树比例占20%～30%。</w:t>
      </w:r>
      <w:r>
        <w:rPr>
          <w:rFonts w:hint="eastAsia"/>
          <w:lang w:val="en-US" w:eastAsia="zh-CN"/>
        </w:rPr>
        <w:t>主栽品种及授粉品种名称见附录B。</w:t>
      </w:r>
    </w:p>
    <w:p>
      <w:pPr>
        <w:pStyle w:val="39"/>
        <w:spacing w:before="156" w:after="156"/>
      </w:pPr>
      <w:bookmarkStart w:id="33" w:name="_Toc370746610"/>
      <w:bookmarkStart w:id="34" w:name="_Toc370752289"/>
      <w:bookmarkStart w:id="35" w:name="_Toc371373834"/>
      <w:bookmarkStart w:id="36" w:name="_Toc371410096"/>
      <w:bookmarkStart w:id="37" w:name="_Toc370985928"/>
      <w:r>
        <w:rPr>
          <w:rFonts w:hint="eastAsia"/>
          <w:lang w:val="en-US" w:eastAsia="zh-CN"/>
        </w:rPr>
        <w:t>定</w:t>
      </w:r>
      <w:r>
        <w:rPr>
          <w:rFonts w:hint="eastAsia"/>
        </w:rPr>
        <w:t>植</w:t>
      </w:r>
      <w:bookmarkEnd w:id="33"/>
      <w:bookmarkEnd w:id="34"/>
      <w:bookmarkEnd w:id="35"/>
      <w:bookmarkEnd w:id="36"/>
      <w:bookmarkEnd w:id="37"/>
    </w:p>
    <w:p>
      <w:pPr>
        <w:pStyle w:val="43"/>
        <w:spacing w:before="156" w:after="156"/>
      </w:pPr>
      <w:r>
        <w:rPr>
          <w:rFonts w:hint="eastAsia"/>
        </w:rPr>
        <w:t>栽植方式与密度</w:t>
      </w:r>
    </w:p>
    <w:p>
      <w:pPr>
        <w:pStyle w:val="20"/>
      </w:pPr>
      <w:r>
        <w:rPr>
          <w:rFonts w:hint="eastAsia"/>
        </w:rPr>
        <w:t>行向应采用南北向，乔化砧木的株行距为（3～4）m×（4～5）m，每亩定植33～56株；矮化砧木的株行距为（2～3）m×4m，每亩定植56～84株。</w:t>
      </w:r>
    </w:p>
    <w:p>
      <w:pPr>
        <w:pStyle w:val="43"/>
        <w:spacing w:before="156" w:after="156"/>
      </w:pPr>
      <w:r>
        <w:rPr>
          <w:rFonts w:hint="eastAsia"/>
        </w:rPr>
        <w:t>栽植技术</w:t>
      </w:r>
    </w:p>
    <w:p>
      <w:pPr>
        <w:pStyle w:val="48"/>
        <w:spacing w:before="156" w:after="156"/>
      </w:pPr>
      <w:r>
        <w:rPr>
          <w:rFonts w:hint="eastAsia"/>
        </w:rPr>
        <w:t>定植时期</w:t>
      </w:r>
    </w:p>
    <w:p>
      <w:pPr>
        <w:pStyle w:val="20"/>
      </w:pPr>
      <w:r>
        <w:rPr>
          <w:rFonts w:hint="eastAsia"/>
        </w:rPr>
        <w:t>以土壤封冻前</w:t>
      </w:r>
      <w:r>
        <w:rPr>
          <w:rFonts w:hint="eastAsia"/>
          <w:lang w:val="en-US" w:eastAsia="zh-CN"/>
        </w:rPr>
        <w:t>的</w:t>
      </w:r>
      <w:r>
        <w:rPr>
          <w:rFonts w:hint="eastAsia"/>
        </w:rPr>
        <w:t>秋</w:t>
      </w:r>
      <w:r>
        <w:rPr>
          <w:rFonts w:hint="eastAsia"/>
          <w:lang w:val="en-US" w:eastAsia="zh-CN"/>
        </w:rPr>
        <w:t>季栽培</w:t>
      </w:r>
      <w:r>
        <w:rPr>
          <w:rFonts w:hint="eastAsia"/>
        </w:rPr>
        <w:t>为主，</w:t>
      </w:r>
      <w:r>
        <w:rPr>
          <w:rFonts w:hint="eastAsia"/>
          <w:lang w:val="en-US" w:eastAsia="zh-CN"/>
        </w:rPr>
        <w:t>土壤解冻后至</w:t>
      </w:r>
      <w:r>
        <w:rPr>
          <w:rFonts w:hint="eastAsia"/>
        </w:rPr>
        <w:t>树体萌芽前</w:t>
      </w:r>
      <w:r>
        <w:rPr>
          <w:rFonts w:hint="eastAsia"/>
          <w:lang w:val="en-US" w:eastAsia="zh-CN"/>
        </w:rPr>
        <w:t>的</w:t>
      </w:r>
      <w:r>
        <w:rPr>
          <w:rFonts w:hint="eastAsia"/>
        </w:rPr>
        <w:t>春季栽种为辅。</w:t>
      </w:r>
    </w:p>
    <w:p>
      <w:pPr>
        <w:pStyle w:val="48"/>
        <w:spacing w:before="156" w:after="156"/>
      </w:pPr>
      <w:r>
        <w:rPr>
          <w:rFonts w:hint="eastAsia"/>
        </w:rPr>
        <w:t>栽植方法</w:t>
      </w:r>
    </w:p>
    <w:p>
      <w:pPr>
        <w:pStyle w:val="20"/>
      </w:pPr>
      <w:r>
        <w:rPr>
          <w:rFonts w:hint="eastAsia"/>
        </w:rPr>
        <w:t>先挖好长、宽、深各0.8m的栽植穴，定植前先将表土与有机肥拌匀填进坑里，</w:t>
      </w:r>
      <w:r>
        <w:rPr>
          <w:rFonts w:hint="eastAsia"/>
          <w:szCs w:val="21"/>
        </w:rPr>
        <w:t>然后适当填入其他土至地面20cm处，灌溉定植坑。定植前将起苗时损伤的根系断面剪平，用清水浸根10h</w:t>
      </w:r>
      <w:r>
        <w:rPr>
          <w:rFonts w:hint="eastAsia"/>
        </w:rPr>
        <w:t>～</w:t>
      </w:r>
      <w:r>
        <w:rPr>
          <w:rFonts w:hint="eastAsia"/>
          <w:szCs w:val="21"/>
        </w:rPr>
        <w:t>12h后，用生根剂浸蘸，再用泥浆蘸根。将苗子嫁接口背向迎风面放入坑内中部，边填边提，使舒展根系，栽植深度以埋住原苗圃土印1cm</w:t>
      </w:r>
      <w:r>
        <w:rPr>
          <w:rFonts w:hint="eastAsia"/>
        </w:rPr>
        <w:t>～</w:t>
      </w:r>
      <w:r>
        <w:rPr>
          <w:rFonts w:hint="eastAsia"/>
          <w:szCs w:val="21"/>
        </w:rPr>
        <w:t>2cm为宜。栽后踏实土壤，整好树盘并立即浇透水</w:t>
      </w:r>
      <w:r>
        <w:rPr>
          <w:rFonts w:hint="eastAsia"/>
        </w:rPr>
        <w:t>。</w:t>
      </w:r>
    </w:p>
    <w:p>
      <w:pPr>
        <w:pStyle w:val="48"/>
        <w:spacing w:before="156" w:after="156"/>
      </w:pPr>
      <w:r>
        <w:rPr>
          <w:rFonts w:hint="eastAsia"/>
        </w:rPr>
        <w:t>栽后管理</w:t>
      </w:r>
    </w:p>
    <w:p>
      <w:pPr>
        <w:pStyle w:val="20"/>
      </w:pPr>
      <w:r>
        <w:rPr>
          <w:rFonts w:hint="eastAsia"/>
        </w:rPr>
        <w:t>秋栽苗木，在南部地区缠地膜越冬；在中部地区要求埋土越冬，埋土时先在苗木根部周围填起20cm土堆，然后轻轻把苗木基部软化后，压倒埋土，埋土厚度30cm左右，拍实。春栽苗木，要及时覆盖地膜，做好保墒保温工作，并注意防治金龟子。</w:t>
      </w:r>
    </w:p>
    <w:p>
      <w:pPr>
        <w:pStyle w:val="20"/>
      </w:pPr>
      <w:r>
        <w:rPr>
          <w:rFonts w:hint="eastAsia"/>
        </w:rPr>
        <w:t>秋栽苗木在翌年土壤解冻后，将苗子从土中刨出，扶正苗干，踏实根部土壤，并浇一次透水，然后根据树形</w:t>
      </w:r>
      <w:r>
        <w:rPr>
          <w:rFonts w:hint="eastAsia"/>
          <w:lang w:val="en-US" w:eastAsia="zh-CN"/>
        </w:rPr>
        <w:t>及土壤干旱情况</w:t>
      </w:r>
      <w:r>
        <w:rPr>
          <w:rFonts w:hint="eastAsia"/>
        </w:rPr>
        <w:t>短截定干</w:t>
      </w:r>
      <w:r>
        <w:rPr>
          <w:rFonts w:hint="eastAsia"/>
          <w:lang w:eastAsia="zh-CN"/>
        </w:rPr>
        <w:t>。</w:t>
      </w:r>
      <w:r>
        <w:rPr>
          <w:rFonts w:hint="eastAsia"/>
          <w:lang w:val="en-US" w:eastAsia="zh-CN"/>
        </w:rPr>
        <w:t>轻度干旱地区定干60</w:t>
      </w:r>
      <w:r>
        <w:rPr>
          <w:rFonts w:hint="eastAsia"/>
        </w:rPr>
        <w:t>～</w:t>
      </w:r>
      <w:r>
        <w:rPr>
          <w:rFonts w:hint="eastAsia"/>
          <w:lang w:val="en-US" w:eastAsia="zh-CN"/>
        </w:rPr>
        <w:t>70cm，中度干旱地区定干50</w:t>
      </w:r>
      <w:r>
        <w:rPr>
          <w:rFonts w:hint="eastAsia"/>
        </w:rPr>
        <w:t>～</w:t>
      </w:r>
      <w:r>
        <w:rPr>
          <w:rFonts w:hint="eastAsia"/>
          <w:lang w:val="en-US" w:eastAsia="zh-CN"/>
        </w:rPr>
        <w:t>60cm，重度干旱地区可定为40</w:t>
      </w:r>
      <w:r>
        <w:rPr>
          <w:rFonts w:hint="eastAsia"/>
        </w:rPr>
        <w:t>～</w:t>
      </w:r>
      <w:r>
        <w:rPr>
          <w:rFonts w:hint="eastAsia"/>
          <w:lang w:val="en-US" w:eastAsia="zh-CN"/>
        </w:rPr>
        <w:t>50cm，定干后</w:t>
      </w:r>
      <w:r>
        <w:rPr>
          <w:rFonts w:hint="eastAsia"/>
        </w:rPr>
        <w:t>再用地膜覆盖树行。</w:t>
      </w:r>
    </w:p>
    <w:p>
      <w:pPr>
        <w:pStyle w:val="42"/>
        <w:spacing w:before="312" w:after="312"/>
      </w:pPr>
      <w:bookmarkStart w:id="38" w:name="_Toc371373836"/>
      <w:bookmarkStart w:id="39" w:name="_Toc370752291"/>
      <w:bookmarkStart w:id="40" w:name="_Toc371432179"/>
      <w:bookmarkStart w:id="41" w:name="_Toc370746612"/>
      <w:bookmarkStart w:id="42" w:name="_Toc371410098"/>
      <w:bookmarkStart w:id="43" w:name="_Toc22841"/>
      <w:bookmarkStart w:id="44" w:name="_Toc370985930"/>
      <w:r>
        <w:rPr>
          <w:rFonts w:hint="eastAsia"/>
        </w:rPr>
        <w:t>整形修剪</w:t>
      </w:r>
      <w:bookmarkEnd w:id="38"/>
      <w:bookmarkEnd w:id="39"/>
      <w:bookmarkEnd w:id="40"/>
      <w:bookmarkEnd w:id="41"/>
      <w:bookmarkEnd w:id="42"/>
      <w:bookmarkEnd w:id="43"/>
      <w:bookmarkEnd w:id="44"/>
    </w:p>
    <w:p>
      <w:pPr>
        <w:pStyle w:val="39"/>
        <w:spacing w:before="156" w:after="156"/>
      </w:pPr>
      <w:r>
        <w:rPr>
          <w:rFonts w:hint="eastAsia"/>
        </w:rPr>
        <w:t>整形</w:t>
      </w:r>
    </w:p>
    <w:p>
      <w:pPr>
        <w:pStyle w:val="43"/>
        <w:spacing w:before="156" w:after="156"/>
      </w:pPr>
      <w:r>
        <w:rPr>
          <w:rFonts w:hint="eastAsia"/>
        </w:rPr>
        <w:t>自然开心形</w:t>
      </w:r>
    </w:p>
    <w:p>
      <w:pPr>
        <w:pStyle w:val="20"/>
        <w:rPr>
          <w:rFonts w:hint="eastAsia"/>
        </w:rPr>
      </w:pPr>
      <w:r>
        <w:rPr>
          <w:rFonts w:hint="eastAsia"/>
        </w:rPr>
        <w:t xml:space="preserve">中密度[（3～4）m×（4～5）m]、干性弱、根系较浅的品种可采用自然开心形。自然开心形无中央领导干，在距地面 60～80 </w:t>
      </w:r>
      <w:r>
        <w:rPr>
          <w:rFonts w:hint="eastAsia"/>
          <w:lang w:val="en-US" w:eastAsia="zh-CN"/>
        </w:rPr>
        <w:t>cm</w:t>
      </w:r>
      <w:r>
        <w:rPr>
          <w:rFonts w:hint="eastAsia"/>
        </w:rPr>
        <w:t>处定干</w:t>
      </w:r>
      <w:r>
        <w:rPr>
          <w:rFonts w:hint="eastAsia"/>
          <w:lang w:eastAsia="zh-CN"/>
        </w:rPr>
        <w:t>，</w:t>
      </w:r>
      <w:r>
        <w:rPr>
          <w:rFonts w:hint="eastAsia"/>
        </w:rPr>
        <w:t>主干高20cm～40cm</w:t>
      </w:r>
      <w:r>
        <w:rPr>
          <w:rFonts w:hint="eastAsia"/>
          <w:lang w:eastAsia="zh-CN"/>
        </w:rPr>
        <w:t>。</w:t>
      </w:r>
      <w:r>
        <w:rPr>
          <w:rFonts w:hint="eastAsia"/>
          <w:lang w:val="en-US" w:eastAsia="zh-CN"/>
        </w:rPr>
        <w:t>幼树期在</w:t>
      </w:r>
      <w:r>
        <w:rPr>
          <w:rFonts w:hint="eastAsia"/>
        </w:rPr>
        <w:t>春季萌芽后，从定干剪口下选择 3～4 个生长健壮、方向适宜的新梢作为主枝培养，主枝的角度要保持在 30°～45°左右，通过拉枝等手段来调整角度</w:t>
      </w:r>
      <w:r>
        <w:rPr>
          <w:rFonts w:hint="eastAsia"/>
          <w:lang w:eastAsia="zh-CN"/>
        </w:rPr>
        <w:t>。</w:t>
      </w:r>
      <w:r>
        <w:rPr>
          <w:rFonts w:hint="eastAsia"/>
        </w:rPr>
        <w:t>每个主枝留5～6个背斜或背后侧枝插空排列，多单轴延伸，其上只留结果枝组。</w:t>
      </w:r>
      <w:r>
        <w:rPr>
          <w:rFonts w:hint="eastAsia"/>
          <w:lang w:val="en-US" w:eastAsia="zh-CN"/>
        </w:rPr>
        <w:t>初果期</w:t>
      </w:r>
      <w:r>
        <w:rPr>
          <w:rFonts w:hint="eastAsia"/>
        </w:rPr>
        <w:t>采用先放后缩的方法培养结果枝组。对于生长中庸的一年生枝条，不进行短截，让其自然生长，经过一年的生长，在枝条的中后部形成花芽。盛果期后，要及时更新结果枝组，选择其基部的健壮枝条进行培养，逐步替代原来的老枝组</w:t>
      </w:r>
      <w:r>
        <w:rPr>
          <w:rFonts w:hint="eastAsia"/>
          <w:lang w:eastAsia="zh-CN"/>
        </w:rPr>
        <w:t>。</w:t>
      </w:r>
      <w:r>
        <w:rPr>
          <w:rFonts w:hint="eastAsia"/>
        </w:rPr>
        <w:t>定期检查主枝的生长势，对生长过强的主枝适当疏除部分旺枝，减少其生长量；对于生长较弱的主枝，通过回缩、短截等手段增强其生长势。</w:t>
      </w:r>
      <w:r>
        <w:rPr>
          <w:rFonts w:hint="eastAsia"/>
          <w:lang w:val="en-US" w:eastAsia="zh-CN"/>
        </w:rPr>
        <w:t>控制</w:t>
      </w:r>
      <w:r>
        <w:rPr>
          <w:rFonts w:hint="eastAsia"/>
        </w:rPr>
        <w:t>树高3～3.5m，树冠呈圆形或扁圆形。</w:t>
      </w:r>
    </w:p>
    <w:p>
      <w:pPr>
        <w:pStyle w:val="43"/>
        <w:spacing w:before="156" w:after="156"/>
      </w:pPr>
      <w:r>
        <w:rPr>
          <w:rFonts w:hint="eastAsia"/>
        </w:rPr>
        <w:t>改良主干形</w:t>
      </w:r>
    </w:p>
    <w:p>
      <w:pPr>
        <w:pStyle w:val="20"/>
        <w:rPr>
          <w:rFonts w:hint="eastAsia"/>
          <w:lang w:val="en-US" w:eastAsia="zh-CN"/>
        </w:rPr>
      </w:pPr>
      <w:r>
        <w:rPr>
          <w:rFonts w:hint="eastAsia"/>
        </w:rPr>
        <w:t>高密度[（2～3）m×4m]、干性强、根系较深的品种一般采用改良主干形。改良主干形主干高50cm～60cm，中心领导干保持优势生长，其上配10个左右单轴延伸主枝，分层或螺旋着生</w:t>
      </w:r>
      <w:r>
        <w:rPr>
          <w:rFonts w:hint="eastAsia"/>
          <w:lang w:eastAsia="zh-CN"/>
        </w:rPr>
        <w:t>。</w:t>
      </w:r>
      <w:r>
        <w:rPr>
          <w:rFonts w:hint="eastAsia"/>
          <w:lang w:val="en-US" w:eastAsia="zh-CN"/>
        </w:rPr>
        <w:t>幼树期</w:t>
      </w:r>
      <w:r>
        <w:rPr>
          <w:rFonts w:hint="eastAsia"/>
        </w:rPr>
        <w:t>定干后，让剪口下的第一芽继续向上生长，形成中心领导干</w:t>
      </w:r>
      <w:r>
        <w:rPr>
          <w:rFonts w:hint="eastAsia"/>
          <w:lang w:eastAsia="zh-CN"/>
        </w:rPr>
        <w:t>，</w:t>
      </w:r>
      <w:r>
        <w:rPr>
          <w:rFonts w:hint="eastAsia"/>
        </w:rPr>
        <w:t xml:space="preserve">从距地面 40～60 </w:t>
      </w:r>
      <w:r>
        <w:rPr>
          <w:rFonts w:hint="eastAsia"/>
          <w:lang w:val="en-US" w:eastAsia="zh-CN"/>
        </w:rPr>
        <w:t>cm</w:t>
      </w:r>
      <w:r>
        <w:rPr>
          <w:rFonts w:hint="eastAsia"/>
        </w:rPr>
        <w:t>处开始，选留3～4 个</w:t>
      </w:r>
      <w:r>
        <w:rPr>
          <w:rFonts w:hint="eastAsia"/>
          <w:lang w:val="en-US" w:eastAsia="zh-CN"/>
        </w:rPr>
        <w:t>枝条作为</w:t>
      </w:r>
      <w:r>
        <w:rPr>
          <w:rFonts w:hint="eastAsia"/>
        </w:rPr>
        <w:t>第一层主枝</w:t>
      </w:r>
      <w:r>
        <w:rPr>
          <w:rFonts w:hint="eastAsia"/>
          <w:lang w:eastAsia="zh-CN"/>
        </w:rPr>
        <w:t>，</w:t>
      </w:r>
      <w:r>
        <w:rPr>
          <w:rFonts w:hint="eastAsia"/>
        </w:rPr>
        <w:t xml:space="preserve">主枝在中心领导干的圆周上相互间隔约 90°～120°。在距第一层主枝 40 ～50 </w:t>
      </w:r>
      <w:r>
        <w:rPr>
          <w:rFonts w:hint="eastAsia"/>
          <w:lang w:val="en-US" w:eastAsia="zh-CN"/>
        </w:rPr>
        <w:t>cm</w:t>
      </w:r>
      <w:r>
        <w:rPr>
          <w:rFonts w:hint="eastAsia"/>
        </w:rPr>
        <w:t>处选留2～3 个第二层主枝。</w:t>
      </w:r>
      <w:r>
        <w:rPr>
          <w:rFonts w:hint="eastAsia"/>
          <w:lang w:val="en-US" w:eastAsia="zh-CN"/>
        </w:rPr>
        <w:t>在</w:t>
      </w:r>
      <w:r>
        <w:rPr>
          <w:rFonts w:hint="eastAsia"/>
        </w:rPr>
        <w:t>树高3～</w:t>
      </w:r>
      <w:r>
        <w:rPr>
          <w:rFonts w:hint="eastAsia"/>
          <w:lang w:val="en-US" w:eastAsia="zh-CN"/>
        </w:rPr>
        <w:t>3.5</w:t>
      </w:r>
      <w:r>
        <w:rPr>
          <w:rFonts w:hint="eastAsia"/>
        </w:rPr>
        <w:t>m</w:t>
      </w:r>
      <w:r>
        <w:rPr>
          <w:rFonts w:hint="eastAsia"/>
          <w:lang w:val="en-US" w:eastAsia="zh-CN"/>
        </w:rPr>
        <w:t>时，</w:t>
      </w:r>
      <w:r>
        <w:rPr>
          <w:rFonts w:hint="eastAsia"/>
        </w:rPr>
        <w:t>对中心领导干进行落头开心</w:t>
      </w:r>
      <w:r>
        <w:rPr>
          <w:rFonts w:hint="eastAsia"/>
          <w:lang w:eastAsia="zh-CN"/>
        </w:rPr>
        <w:t>，使树体顶部呈开心状，主枝与中心领导干的夹角在 70°～80°左右。</w:t>
      </w:r>
      <w:r>
        <w:rPr>
          <w:rFonts w:hint="eastAsia"/>
          <w:lang w:val="en-US" w:eastAsia="zh-CN"/>
        </w:rPr>
        <w:t>初果期</w:t>
      </w:r>
      <w:r>
        <w:rPr>
          <w:rFonts w:hint="eastAsia"/>
          <w:lang w:eastAsia="zh-CN"/>
        </w:rPr>
        <w:t>在主枝和侧枝上培养结果枝组。先让一年生枝条自然生长，形成花芽后，再回缩到有花芽的部位，形成结果枝组。</w:t>
      </w:r>
      <w:r>
        <w:rPr>
          <w:rFonts w:hint="eastAsia"/>
        </w:rPr>
        <w:t>盛果期结果枝组需要及时更新。选择其基部或附近的健壮枝条进行培养</w:t>
      </w:r>
      <w:r>
        <w:rPr>
          <w:rFonts w:hint="eastAsia"/>
          <w:lang w:val="en-US" w:eastAsia="zh-CN"/>
        </w:rPr>
        <w:t>，逐步替代原来的老枝组。要及时疏除过密的枝组，保证枝组之间有足够的空间，一般枝组间距保持在3</w:t>
      </w:r>
      <w:r>
        <w:rPr>
          <w:rFonts w:hint="eastAsia"/>
        </w:rPr>
        <w:t>0～</w:t>
      </w:r>
      <w:r>
        <w:rPr>
          <w:rFonts w:hint="eastAsia"/>
          <w:lang w:val="en-US" w:eastAsia="zh-CN"/>
        </w:rPr>
        <w:t>4</w:t>
      </w:r>
      <w:r>
        <w:rPr>
          <w:rFonts w:hint="eastAsia"/>
        </w:rPr>
        <w:t xml:space="preserve">0 </w:t>
      </w:r>
      <w:r>
        <w:rPr>
          <w:rFonts w:hint="eastAsia"/>
          <w:lang w:val="en-US" w:eastAsia="zh-CN"/>
        </w:rPr>
        <w:t xml:space="preserve">cm左右。更新过程可以分年度进行，每年更新 1/3 </w:t>
      </w:r>
      <w:r>
        <w:rPr>
          <w:rFonts w:hint="eastAsia"/>
        </w:rPr>
        <w:t>～</w:t>
      </w:r>
      <w:r>
        <w:rPr>
          <w:rFonts w:hint="eastAsia"/>
          <w:lang w:val="en-US" w:eastAsia="zh-CN"/>
        </w:rPr>
        <w:t>1/2 的枝组。</w:t>
      </w:r>
    </w:p>
    <w:p>
      <w:pPr>
        <w:pStyle w:val="43"/>
        <w:spacing w:before="156" w:after="156"/>
      </w:pPr>
      <w:r>
        <w:rPr>
          <w:rFonts w:hint="eastAsia"/>
        </w:rPr>
        <w:t>KGB树形</w:t>
      </w:r>
    </w:p>
    <w:p>
      <w:pPr>
        <w:pStyle w:val="20"/>
        <w:rPr>
          <w:rFonts w:hint="eastAsia"/>
        </w:rPr>
      </w:pPr>
      <w:r>
        <w:rPr>
          <w:rFonts w:hint="eastAsia"/>
        </w:rPr>
        <w:t>K</w:t>
      </w:r>
      <w:r>
        <w:t>GB树形没有侧枝，</w:t>
      </w:r>
      <w:r>
        <w:rPr>
          <w:rFonts w:hint="eastAsia"/>
        </w:rPr>
        <w:t>只利用直立主枝结果</w:t>
      </w:r>
      <w:r>
        <w:rPr>
          <w:rFonts w:hint="eastAsia"/>
          <w:lang w:eastAsia="zh-CN"/>
        </w:rPr>
        <w:t>。</w:t>
      </w:r>
      <w:r>
        <w:rPr>
          <w:rFonts w:hint="eastAsia"/>
        </w:rPr>
        <w:t>定植株行距为(2～3)m×（4～5）m</w:t>
      </w:r>
      <w:r>
        <w:rPr>
          <w:rFonts w:hint="eastAsia"/>
          <w:lang w:eastAsia="zh-CN"/>
        </w:rPr>
        <w:t>，</w:t>
      </w:r>
      <w:r>
        <w:rPr>
          <w:rFonts w:hint="eastAsia"/>
        </w:rPr>
        <w:t>采用半矮化砧木的树体，主枝一般有20～25个</w:t>
      </w:r>
      <w:r>
        <w:t>，采用乔化砧木的树体有25～30个。树体高度2.5m</w:t>
      </w:r>
      <w:r>
        <w:rPr>
          <w:rFonts w:hint="eastAsia"/>
        </w:rPr>
        <w:t>左右。</w:t>
      </w:r>
      <w:r>
        <w:rPr>
          <w:rFonts w:hint="eastAsia"/>
          <w:lang w:val="en-US" w:eastAsia="zh-CN"/>
        </w:rPr>
        <w:t>幼树期</w:t>
      </w:r>
      <w:r>
        <w:rPr>
          <w:rFonts w:hint="eastAsia"/>
        </w:rPr>
        <w:t>苗木定植后，在距离地面60cm处定干</w:t>
      </w:r>
      <w:r>
        <w:rPr>
          <w:rFonts w:hint="eastAsia"/>
          <w:lang w:eastAsia="zh-CN"/>
        </w:rPr>
        <w:t>。</w:t>
      </w:r>
      <w:r>
        <w:rPr>
          <w:rFonts w:hint="eastAsia"/>
        </w:rPr>
        <w:t>当</w:t>
      </w:r>
      <w:r>
        <w:rPr>
          <w:rFonts w:hint="eastAsia"/>
          <w:lang w:val="en-US" w:eastAsia="zh-CN"/>
        </w:rPr>
        <w:t>主</w:t>
      </w:r>
      <w:r>
        <w:rPr>
          <w:rFonts w:hint="eastAsia"/>
        </w:rPr>
        <w:t>枝长到</w:t>
      </w:r>
      <w:r>
        <w:rPr>
          <w:rFonts w:hint="eastAsia"/>
          <w:lang w:val="en-US" w:eastAsia="zh-CN"/>
        </w:rPr>
        <w:t>3</w:t>
      </w:r>
      <w:r>
        <w:rPr>
          <w:rFonts w:hint="eastAsia"/>
        </w:rPr>
        <w:t>0～</w:t>
      </w:r>
      <w:r>
        <w:rPr>
          <w:rFonts w:hint="eastAsia"/>
          <w:lang w:val="en-US" w:eastAsia="zh-CN"/>
        </w:rPr>
        <w:t>4</w:t>
      </w:r>
      <w:r>
        <w:rPr>
          <w:rFonts w:hint="eastAsia"/>
        </w:rPr>
        <w:t xml:space="preserve">0 </w:t>
      </w:r>
      <w:r>
        <w:rPr>
          <w:rFonts w:hint="eastAsia"/>
          <w:lang w:val="en-US" w:eastAsia="zh-CN"/>
        </w:rPr>
        <w:t>cm</w:t>
      </w:r>
      <w:r>
        <w:rPr>
          <w:rFonts w:hint="eastAsia"/>
        </w:rPr>
        <w:t>时，用牙签等工具将其角度撑开，与中心领导干的夹角保持在 70°～80° 左右，保证</w:t>
      </w:r>
      <w:r>
        <w:rPr>
          <w:rFonts w:hint="eastAsia"/>
          <w:lang w:val="en-US" w:eastAsia="zh-CN"/>
        </w:rPr>
        <w:t>主</w:t>
      </w:r>
      <w:r>
        <w:rPr>
          <w:rFonts w:hint="eastAsia"/>
        </w:rPr>
        <w:t>枝之间的间距在 20～30</w:t>
      </w:r>
      <w:r>
        <w:rPr>
          <w:rFonts w:hint="eastAsia"/>
          <w:lang w:val="en-US" w:eastAsia="zh-CN"/>
        </w:rPr>
        <w:t>cm</w:t>
      </w:r>
      <w:r>
        <w:rPr>
          <w:rFonts w:hint="eastAsia"/>
        </w:rPr>
        <w:t>左右</w:t>
      </w:r>
      <w:r>
        <w:rPr>
          <w:rFonts w:hint="eastAsia"/>
          <w:lang w:eastAsia="zh-CN"/>
        </w:rPr>
        <w:t>，</w:t>
      </w:r>
      <w:r>
        <w:rPr>
          <w:rFonts w:hint="eastAsia"/>
        </w:rPr>
        <w:t>并且逐年更新</w:t>
      </w:r>
      <w:r>
        <w:rPr>
          <w:rFonts w:hint="eastAsia"/>
          <w:lang w:eastAsia="zh-CN"/>
        </w:rPr>
        <w:t>。</w:t>
      </w:r>
      <w:r>
        <w:rPr>
          <w:rFonts w:hint="eastAsia"/>
          <w:lang w:val="en-US" w:eastAsia="zh-CN"/>
        </w:rPr>
        <w:t>初果期</w:t>
      </w:r>
      <w:r>
        <w:t>适当进行短截，剪去当年生长量的 1/4</w:t>
      </w:r>
      <w:r>
        <w:rPr>
          <w:rFonts w:hint="eastAsia"/>
        </w:rPr>
        <w:t>～</w:t>
      </w:r>
      <w:r>
        <w:t>1/3 左右，促进分枝，</w:t>
      </w:r>
      <w:r>
        <w:rPr>
          <w:rFonts w:hint="eastAsia"/>
        </w:rPr>
        <w:t>每</w:t>
      </w:r>
      <w:r>
        <w:rPr>
          <w:rFonts w:hint="eastAsia"/>
          <w:lang w:val="en-US" w:eastAsia="zh-CN"/>
        </w:rPr>
        <w:t>个</w:t>
      </w:r>
      <w:r>
        <w:rPr>
          <w:rFonts w:hint="eastAsia"/>
        </w:rPr>
        <w:t>侧枝保留 3～5 个花芽，为结果做好准备。盛果期，结果枝组容易衰弱，需要及时更新。对于连续结果多年的枝组，将其回缩到有新生健壮芽的部位</w:t>
      </w:r>
      <w:r>
        <w:rPr>
          <w:rFonts w:hint="eastAsia"/>
          <w:lang w:eastAsia="zh-CN"/>
        </w:rPr>
        <w:t>。</w:t>
      </w:r>
      <w:r>
        <w:rPr>
          <w:rFonts w:hint="eastAsia"/>
        </w:rPr>
        <w:t>定期检查树形，调整侧枝的角度和长度。保证侧枝分布均匀，防止树冠内膛郁闭。树高控制在 2.5～3</w:t>
      </w:r>
      <w:r>
        <w:rPr>
          <w:rFonts w:hint="eastAsia"/>
          <w:lang w:val="en-US" w:eastAsia="zh-CN"/>
        </w:rPr>
        <w:t>m</w:t>
      </w:r>
      <w:r>
        <w:rPr>
          <w:rFonts w:hint="eastAsia"/>
        </w:rPr>
        <w:t>左右，冠幅控制在 2～2.5</w:t>
      </w:r>
      <w:r>
        <w:rPr>
          <w:rFonts w:hint="eastAsia"/>
          <w:lang w:val="en-US" w:eastAsia="zh-CN"/>
        </w:rPr>
        <w:t>m</w:t>
      </w:r>
      <w:r>
        <w:rPr>
          <w:rFonts w:hint="eastAsia"/>
        </w:rPr>
        <w:t>左右。</w:t>
      </w:r>
    </w:p>
    <w:p>
      <w:pPr>
        <w:pStyle w:val="20"/>
        <w:rPr>
          <w:rFonts w:hint="default" w:eastAsia="宋体"/>
          <w:lang w:val="en-US" w:eastAsia="zh-CN"/>
        </w:rPr>
      </w:pPr>
      <w:r>
        <w:rPr>
          <w:rFonts w:hint="eastAsia"/>
          <w:lang w:val="en-US" w:eastAsia="zh-CN"/>
        </w:rPr>
        <w:t>不同树形的适栽品种见附录C。</w:t>
      </w:r>
    </w:p>
    <w:p>
      <w:pPr>
        <w:pStyle w:val="39"/>
        <w:spacing w:before="156" w:after="156"/>
      </w:pPr>
      <w:r>
        <w:rPr>
          <w:rFonts w:hint="eastAsia"/>
        </w:rPr>
        <w:t>修剪</w:t>
      </w:r>
    </w:p>
    <w:p>
      <w:pPr>
        <w:pStyle w:val="43"/>
        <w:spacing w:before="156" w:after="156"/>
      </w:pPr>
      <w:r>
        <w:rPr>
          <w:rFonts w:hint="eastAsia"/>
        </w:rPr>
        <w:t>休眠期修剪</w:t>
      </w:r>
    </w:p>
    <w:p>
      <w:pPr>
        <w:pStyle w:val="20"/>
      </w:pPr>
      <w:r>
        <w:rPr>
          <w:rFonts w:hint="eastAsia"/>
        </w:rPr>
        <w:t>修剪时间以3月中下旬接近萌芽期较为适宜。根据树体生长发育状况，采取疏枝、缓放、短截、回缩等方法。剪口用愈伤防腐膜及时封闭，以免病菌和病毒侵染伤口。冬季修剪时还要注意剪除病虫枝，清除病僵果。</w:t>
      </w:r>
    </w:p>
    <w:p>
      <w:pPr>
        <w:pStyle w:val="43"/>
        <w:spacing w:before="156" w:after="156"/>
      </w:pPr>
      <w:r>
        <w:rPr>
          <w:rFonts w:hint="eastAsia"/>
        </w:rPr>
        <w:t>生长期修剪</w:t>
      </w:r>
    </w:p>
    <w:p>
      <w:pPr>
        <w:pStyle w:val="20"/>
      </w:pPr>
      <w:r>
        <w:rPr>
          <w:rFonts w:hint="eastAsia"/>
        </w:rPr>
        <w:t>生长期修剪是针对幼树而言，大树不进行修剪。修剪时间主要在新梢生长期和采果后这两段时间。新梢生长期可采取摘心、拉枝等措施抑制新梢旺长，促生分枝，增加枝量，促进花芽分化；采果后修剪多采用疏枝的办法，疏除过密、过强、紊乱树冠的多年生大枝。</w:t>
      </w:r>
    </w:p>
    <w:p>
      <w:pPr>
        <w:pStyle w:val="42"/>
        <w:spacing w:before="312" w:after="312"/>
      </w:pPr>
      <w:bookmarkStart w:id="45" w:name="_Toc370985931"/>
      <w:bookmarkStart w:id="46" w:name="_Toc370746613"/>
      <w:bookmarkStart w:id="47" w:name="_Toc371373837"/>
      <w:bookmarkStart w:id="48" w:name="_Toc371432180"/>
      <w:bookmarkStart w:id="49" w:name="_Toc10427"/>
      <w:bookmarkStart w:id="50" w:name="_Toc371410099"/>
      <w:bookmarkStart w:id="51" w:name="_Toc370752292"/>
      <w:r>
        <w:rPr>
          <w:rFonts w:hint="eastAsia"/>
        </w:rPr>
        <w:t>花果管理</w:t>
      </w:r>
      <w:bookmarkEnd w:id="45"/>
      <w:bookmarkEnd w:id="46"/>
      <w:bookmarkEnd w:id="47"/>
      <w:bookmarkEnd w:id="48"/>
      <w:bookmarkEnd w:id="49"/>
      <w:bookmarkEnd w:id="50"/>
      <w:bookmarkEnd w:id="51"/>
    </w:p>
    <w:p>
      <w:pPr>
        <w:pStyle w:val="39"/>
        <w:spacing w:before="156" w:after="156"/>
      </w:pPr>
      <w:r>
        <w:rPr>
          <w:rFonts w:hint="eastAsia"/>
          <w:lang w:val="en-US" w:eastAsia="zh-CN"/>
        </w:rPr>
        <w:t>预防</w:t>
      </w:r>
      <w:r>
        <w:rPr>
          <w:rFonts w:hint="eastAsia"/>
        </w:rPr>
        <w:t>霜冻</w:t>
      </w:r>
    </w:p>
    <w:p>
      <w:pPr>
        <w:pStyle w:val="20"/>
      </w:pPr>
      <w:r>
        <w:rPr>
          <w:rFonts w:hint="eastAsia"/>
        </w:rPr>
        <w:t>大樱桃3月下旬至4月下旬易受晚霜危害，危害温度：萌芽期低于-4</w:t>
      </w:r>
      <w:r>
        <w:rPr>
          <w:rFonts w:hint="eastAsia" w:hAnsi="宋体"/>
        </w:rPr>
        <w:t>℃</w:t>
      </w:r>
      <w:r>
        <w:rPr>
          <w:rFonts w:hint="eastAsia"/>
        </w:rPr>
        <w:t>，开花期低于-1.1</w:t>
      </w:r>
      <w:r>
        <w:rPr>
          <w:rFonts w:hint="eastAsia" w:hAnsi="宋体"/>
        </w:rPr>
        <w:t>℃。</w:t>
      </w:r>
      <w:r>
        <w:rPr>
          <w:rFonts w:hint="eastAsia"/>
        </w:rPr>
        <w:t>生长期适宜温度：萌芽期日均温10</w:t>
      </w:r>
      <w:r>
        <w:rPr>
          <w:rFonts w:hint="eastAsia" w:hAnsi="宋体"/>
        </w:rPr>
        <w:t>℃</w:t>
      </w:r>
      <w:r>
        <w:rPr>
          <w:rFonts w:hint="eastAsia"/>
        </w:rPr>
        <w:t>左右，开花期日均温15</w:t>
      </w:r>
      <w:r>
        <w:rPr>
          <w:rFonts w:hint="eastAsia" w:hAnsi="宋体"/>
        </w:rPr>
        <w:t>℃</w:t>
      </w:r>
      <w:r>
        <w:rPr>
          <w:rFonts w:hint="eastAsia"/>
        </w:rPr>
        <w:t>左右，成熟期日均温20</w:t>
      </w:r>
      <w:r>
        <w:rPr>
          <w:rFonts w:hint="eastAsia" w:hAnsi="宋体"/>
        </w:rPr>
        <w:t>℃</w:t>
      </w:r>
      <w:r>
        <w:rPr>
          <w:rFonts w:hint="eastAsia"/>
        </w:rPr>
        <w:t>左右。</w:t>
      </w:r>
    </w:p>
    <w:p>
      <w:pPr>
        <w:pStyle w:val="20"/>
      </w:pPr>
      <w:r>
        <w:rPr>
          <w:rFonts w:hint="eastAsia"/>
        </w:rPr>
        <w:t>应根据当地天气预报，于霜冻来临前，浇一次透水；或者在果园上风头点燃落叶、树枝、秸秆等进行熏烟，不易用明火。</w:t>
      </w:r>
    </w:p>
    <w:p>
      <w:pPr>
        <w:pStyle w:val="39"/>
        <w:spacing w:before="156" w:after="156"/>
      </w:pPr>
      <w:r>
        <w:rPr>
          <w:rFonts w:hint="eastAsia"/>
        </w:rPr>
        <w:t>花期授粉</w:t>
      </w:r>
    </w:p>
    <w:p>
      <w:pPr>
        <w:pStyle w:val="43"/>
        <w:spacing w:before="156" w:after="156"/>
      </w:pPr>
      <w:r>
        <w:rPr>
          <w:rFonts w:hint="eastAsia"/>
        </w:rPr>
        <w:t>昆虫授粉</w:t>
      </w:r>
    </w:p>
    <w:p>
      <w:pPr>
        <w:pStyle w:val="20"/>
      </w:pPr>
      <w:r>
        <w:rPr>
          <w:rFonts w:hint="eastAsia"/>
        </w:rPr>
        <w:t>主要有蜜蜂和壁蜂。一般在开花初期每亩果园放置一箱蜜蜂或释放壁蜂</w:t>
      </w:r>
      <w:r>
        <w:rPr>
          <w:rFonts w:hint="eastAsia"/>
          <w:lang w:val="en-US" w:eastAsia="zh-CN"/>
        </w:rPr>
        <w:t>4</w:t>
      </w:r>
      <w:r>
        <w:rPr>
          <w:rFonts w:hint="eastAsia"/>
        </w:rPr>
        <w:t>～</w:t>
      </w:r>
      <w:r>
        <w:rPr>
          <w:rFonts w:hint="eastAsia"/>
          <w:lang w:val="en-US" w:eastAsia="zh-CN"/>
        </w:rPr>
        <w:t>5批</w:t>
      </w:r>
      <w:r>
        <w:rPr>
          <w:rFonts w:hint="eastAsia"/>
        </w:rPr>
        <w:t>即可。</w:t>
      </w:r>
    </w:p>
    <w:p>
      <w:pPr>
        <w:pStyle w:val="43"/>
        <w:spacing w:before="156" w:after="156"/>
      </w:pPr>
      <w:r>
        <w:rPr>
          <w:rFonts w:hint="eastAsia"/>
        </w:rPr>
        <w:t>人工授粉</w:t>
      </w:r>
    </w:p>
    <w:p>
      <w:pPr>
        <w:pStyle w:val="20"/>
      </w:pPr>
      <w:r>
        <w:rPr>
          <w:rFonts w:hint="eastAsia"/>
        </w:rPr>
        <w:t>若缺乏授粉品种或遇到恶劣天气时，需进行人工辅助授粉。要采集与主栽品种亲和力高的品种花粉，采花宜在铃铛花期进行。授粉在主栽品种盛花初期开始，人工授粉2～3次，可采用人工点授和授粉器授粉。</w:t>
      </w:r>
    </w:p>
    <w:p>
      <w:pPr>
        <w:pStyle w:val="39"/>
        <w:spacing w:before="156" w:after="156"/>
      </w:pPr>
      <w:r>
        <w:rPr>
          <w:rFonts w:hint="eastAsia"/>
          <w:lang w:val="en-US" w:eastAsia="zh-CN"/>
        </w:rPr>
        <w:t>预防</w:t>
      </w:r>
      <w:r>
        <w:rPr>
          <w:rFonts w:hint="eastAsia"/>
        </w:rPr>
        <w:t>裂果</w:t>
      </w:r>
    </w:p>
    <w:p>
      <w:pPr>
        <w:pStyle w:val="20"/>
      </w:pPr>
      <w:r>
        <w:rPr>
          <w:rFonts w:hint="eastAsia"/>
        </w:rPr>
        <w:tab/>
      </w:r>
      <w:r>
        <w:rPr>
          <w:rFonts w:hint="eastAsia"/>
        </w:rPr>
        <w:t>防止裂果除要选择不易裂果的品种外，还需加强果实发育的后期管理，要小水勤浇，避免忽干忽湿。有条件最好用防雨棚防止裂果。</w:t>
      </w:r>
    </w:p>
    <w:p>
      <w:pPr>
        <w:pStyle w:val="39"/>
        <w:spacing w:before="156" w:after="156"/>
      </w:pPr>
      <w:r>
        <w:rPr>
          <w:rFonts w:hint="eastAsia"/>
        </w:rPr>
        <w:t>预防鸟害</w:t>
      </w:r>
    </w:p>
    <w:p>
      <w:pPr>
        <w:pStyle w:val="20"/>
      </w:pPr>
      <w:r>
        <w:rPr>
          <w:rFonts w:hint="eastAsia"/>
        </w:rPr>
        <w:t>大樱桃成熟时，要人工驱鸟，重点用防鸟网、超声波驱鸟器、驱鸟剂等措施防护。</w:t>
      </w:r>
    </w:p>
    <w:p>
      <w:pPr>
        <w:pStyle w:val="39"/>
        <w:spacing w:before="156" w:after="156"/>
        <w:rPr>
          <w:rFonts w:hint="eastAsia"/>
        </w:rPr>
      </w:pPr>
      <w:r>
        <w:rPr>
          <w:rFonts w:hint="eastAsia"/>
        </w:rPr>
        <w:t>促进着色</w:t>
      </w:r>
    </w:p>
    <w:p>
      <w:pPr>
        <w:pStyle w:val="20"/>
        <w:rPr>
          <w:rFonts w:hint="eastAsia" w:eastAsia="宋体"/>
          <w:lang w:val="en-US" w:eastAsia="zh-CN"/>
        </w:rPr>
      </w:pPr>
      <w:r>
        <w:rPr>
          <w:rFonts w:hint="eastAsia"/>
        </w:rPr>
        <w:t>果实着色期，在树下沿行向</w:t>
      </w:r>
      <w:r>
        <w:rPr>
          <w:rFonts w:hint="eastAsia"/>
          <w:lang w:val="en-US" w:eastAsia="zh-CN"/>
        </w:rPr>
        <w:t>由</w:t>
      </w:r>
      <w:r>
        <w:rPr>
          <w:rFonts w:hint="eastAsia"/>
        </w:rPr>
        <w:t>树冠外缘向内铺设反光</w:t>
      </w:r>
      <w:r>
        <w:rPr>
          <w:rFonts w:hint="eastAsia"/>
          <w:lang w:val="en-US" w:eastAsia="zh-CN"/>
        </w:rPr>
        <w:t>膜。</w:t>
      </w:r>
    </w:p>
    <w:p>
      <w:pPr>
        <w:pStyle w:val="42"/>
        <w:spacing w:before="312" w:after="312"/>
      </w:pPr>
      <w:bookmarkStart w:id="52" w:name="_Toc370746611"/>
      <w:bookmarkStart w:id="53" w:name="_Toc370985929"/>
      <w:bookmarkStart w:id="54" w:name="_Toc371410097"/>
      <w:bookmarkStart w:id="55" w:name="_Toc371432178"/>
      <w:bookmarkStart w:id="56" w:name="_Toc370752290"/>
      <w:bookmarkStart w:id="57" w:name="_Toc371373835"/>
      <w:bookmarkStart w:id="58" w:name="_Toc6689"/>
      <w:r>
        <w:rPr>
          <w:rFonts w:hint="eastAsia"/>
        </w:rPr>
        <w:t>土肥水管理</w:t>
      </w:r>
      <w:bookmarkEnd w:id="52"/>
      <w:bookmarkEnd w:id="53"/>
      <w:bookmarkEnd w:id="54"/>
      <w:bookmarkEnd w:id="55"/>
      <w:bookmarkEnd w:id="56"/>
      <w:bookmarkEnd w:id="57"/>
      <w:bookmarkEnd w:id="58"/>
    </w:p>
    <w:p>
      <w:pPr>
        <w:pStyle w:val="39"/>
        <w:spacing w:before="156" w:after="156"/>
      </w:pPr>
      <w:r>
        <w:rPr>
          <w:rFonts w:hint="eastAsia"/>
        </w:rPr>
        <w:t>土壤管理</w:t>
      </w:r>
    </w:p>
    <w:p>
      <w:pPr>
        <w:pStyle w:val="43"/>
        <w:spacing w:before="156" w:after="156"/>
      </w:pPr>
      <w:r>
        <w:rPr>
          <w:rFonts w:hint="eastAsia"/>
        </w:rPr>
        <w:t>深翻扩穴</w:t>
      </w:r>
    </w:p>
    <w:p>
      <w:pPr>
        <w:pStyle w:val="20"/>
      </w:pPr>
      <w:r>
        <w:rPr>
          <w:rFonts w:hint="eastAsia"/>
        </w:rPr>
        <w:t>山区丘陵果园和平地果园采取深翻扩穴等措施，改善透气性和土壤结构。深翻扩穴要从幼树开始，结合秋施基肥，坚持年年进行。</w:t>
      </w:r>
    </w:p>
    <w:p>
      <w:pPr>
        <w:pStyle w:val="43"/>
        <w:spacing w:before="156" w:after="156"/>
      </w:pPr>
      <w:r>
        <w:rPr>
          <w:rFonts w:hint="eastAsia"/>
        </w:rPr>
        <w:t>中耕松土</w:t>
      </w:r>
    </w:p>
    <w:p>
      <w:pPr>
        <w:pStyle w:val="20"/>
      </w:pPr>
      <w:r>
        <w:rPr>
          <w:rFonts w:hint="eastAsia"/>
        </w:rPr>
        <w:t>实行清耕制的果园，生长季节降雨或灌水后，及时中耕松土，保持土壤疏松无杂草。中耕深度一般为5cm～10cm，具体次数要依降水和浇水情况而定。中耕时要注意加高树盘土层，防止雨季积涝。</w:t>
      </w:r>
    </w:p>
    <w:p>
      <w:pPr>
        <w:pStyle w:val="43"/>
        <w:spacing w:before="156" w:after="156"/>
      </w:pPr>
      <w:r>
        <w:rPr>
          <w:rFonts w:hint="eastAsia"/>
        </w:rPr>
        <w:t>树盘覆草</w:t>
      </w:r>
    </w:p>
    <w:p>
      <w:pPr>
        <w:pStyle w:val="20"/>
      </w:pPr>
      <w:r>
        <w:rPr>
          <w:rFonts w:hint="eastAsia"/>
        </w:rPr>
        <w:t>实行覆盖制的果园，在春夏季节每亩覆盖作物秸秆或杂草1000kg～1500kg，覆盖厚度10cm～15cm，上面适量压土，连覆2～3年后深翻1次。但土质粘重的平地及涝洼地不宜提倡覆草。</w:t>
      </w:r>
    </w:p>
    <w:p>
      <w:pPr>
        <w:pStyle w:val="43"/>
        <w:spacing w:before="156" w:after="156"/>
      </w:pPr>
      <w:r>
        <w:rPr>
          <w:rFonts w:hint="eastAsia"/>
        </w:rPr>
        <w:t>果园生草</w:t>
      </w:r>
    </w:p>
    <w:p>
      <w:pPr>
        <w:pStyle w:val="20"/>
      </w:pPr>
      <w:r>
        <w:rPr>
          <w:rFonts w:hint="eastAsia"/>
        </w:rPr>
        <w:t>实行生草栽培的果园，春季或夏秋季于行间种植根系较浅的三叶草等，并及时刈割，将鲜草覆盖在树盘内。</w:t>
      </w:r>
    </w:p>
    <w:p>
      <w:pPr>
        <w:pStyle w:val="43"/>
        <w:spacing w:before="156" w:after="156"/>
      </w:pPr>
      <w:r>
        <w:rPr>
          <w:rFonts w:hint="eastAsia"/>
        </w:rPr>
        <w:t>果园间作</w:t>
      </w:r>
    </w:p>
    <w:p>
      <w:pPr>
        <w:pStyle w:val="20"/>
      </w:pPr>
      <w:r>
        <w:rPr>
          <w:rFonts w:hint="eastAsia"/>
        </w:rPr>
        <w:t>幼树期间，可间作经济作物，一般以花生、豆类等矮秆作物为主。间作时树两侧要留1m左右空间，树体开始结果后，不宜再间作。</w:t>
      </w:r>
    </w:p>
    <w:p>
      <w:pPr>
        <w:pStyle w:val="39"/>
        <w:spacing w:before="156" w:after="156"/>
      </w:pPr>
      <w:r>
        <w:rPr>
          <w:rFonts w:hint="eastAsia"/>
        </w:rPr>
        <w:t>施肥</w:t>
      </w:r>
    </w:p>
    <w:p>
      <w:pPr>
        <w:pStyle w:val="43"/>
        <w:spacing w:before="156" w:after="156"/>
      </w:pPr>
      <w:r>
        <w:rPr>
          <w:rFonts w:hint="eastAsia"/>
        </w:rPr>
        <w:t>基肥</w:t>
      </w:r>
    </w:p>
    <w:p>
      <w:pPr>
        <w:pStyle w:val="20"/>
      </w:pPr>
      <w:r>
        <w:rPr>
          <w:rFonts w:hint="eastAsia"/>
        </w:rPr>
        <w:t>一般在9月中旬至10月下旬落叶以前施用一次基肥，基肥必须连年施用。施肥量按照NY/T 496 的规定执行。</w:t>
      </w:r>
    </w:p>
    <w:p>
      <w:pPr>
        <w:pStyle w:val="43"/>
        <w:spacing w:before="156" w:after="156"/>
      </w:pPr>
      <w:r>
        <w:rPr>
          <w:rFonts w:hint="eastAsia"/>
        </w:rPr>
        <w:t>追肥</w:t>
      </w:r>
    </w:p>
    <w:p>
      <w:pPr>
        <w:pStyle w:val="20"/>
      </w:pPr>
      <w:r>
        <w:rPr>
          <w:rFonts w:hint="eastAsia"/>
        </w:rPr>
        <w:t>土壤追肥每年3次，第一次在萌芽前后，以氮肥为主；第二次在果实膨大期，以磷、钾肥为主，氮、磷、钾混合使用；第三次在果实生长后期，以钾肥为主。施肥量按照NY/T 496-2010 肥料合理使用准则（通用）的规定执行。</w:t>
      </w:r>
    </w:p>
    <w:p>
      <w:pPr>
        <w:pStyle w:val="20"/>
      </w:pPr>
      <w:r>
        <w:rPr>
          <w:rFonts w:hint="eastAsia"/>
        </w:rPr>
        <w:t>此外还要做好全年4～5次的根外追肥，一般生长前期2次，以氮肥为主；后期2～3次，以磷、钾肥为主。最后一次叶面喷肥要在距果实采收期20d以前进行。</w:t>
      </w:r>
    </w:p>
    <w:p>
      <w:pPr>
        <w:pStyle w:val="39"/>
        <w:spacing w:before="156" w:after="156"/>
      </w:pPr>
      <w:r>
        <w:rPr>
          <w:rFonts w:hint="eastAsia"/>
        </w:rPr>
        <w:t>灌溉与排水</w:t>
      </w:r>
    </w:p>
    <w:p>
      <w:pPr>
        <w:pStyle w:val="20"/>
      </w:pPr>
      <w:r>
        <w:rPr>
          <w:rFonts w:hint="eastAsia"/>
        </w:rPr>
        <w:tab/>
      </w:r>
      <w:r>
        <w:rPr>
          <w:rFonts w:hint="eastAsia"/>
        </w:rPr>
        <w:t>一般每年要浇足花前水、硬核水、采后水和封冻水。灌水方式以畦灌、穴灌、沟灌为主，有条件的果园采用滴灌或微喷。降雨量大时，要挖好排水沟，及时排出园内积水。</w:t>
      </w:r>
    </w:p>
    <w:p>
      <w:pPr>
        <w:pStyle w:val="20"/>
      </w:pPr>
    </w:p>
    <w:p>
      <w:pPr>
        <w:pStyle w:val="42"/>
        <w:spacing w:before="312" w:after="312"/>
      </w:pPr>
      <w:bookmarkStart w:id="59" w:name="_Toc370985932"/>
      <w:bookmarkStart w:id="60" w:name="_Toc371373838"/>
      <w:bookmarkStart w:id="61" w:name="_Toc370752293"/>
      <w:bookmarkStart w:id="62" w:name="_Toc371432181"/>
      <w:bookmarkStart w:id="63" w:name="_Toc370746614"/>
      <w:bookmarkStart w:id="64" w:name="_Toc371410100"/>
      <w:bookmarkStart w:id="65" w:name="_Toc18016"/>
      <w:r>
        <w:rPr>
          <w:rFonts w:hint="eastAsia"/>
        </w:rPr>
        <w:t>主要病虫害防治</w:t>
      </w:r>
      <w:bookmarkEnd w:id="59"/>
      <w:bookmarkEnd w:id="60"/>
      <w:bookmarkEnd w:id="61"/>
      <w:bookmarkEnd w:id="62"/>
      <w:bookmarkEnd w:id="63"/>
      <w:bookmarkEnd w:id="64"/>
      <w:r>
        <w:rPr>
          <w:rFonts w:hint="eastAsia"/>
        </w:rPr>
        <w:t>方法</w:t>
      </w:r>
      <w:bookmarkEnd w:id="65"/>
    </w:p>
    <w:p>
      <w:pPr>
        <w:pStyle w:val="39"/>
        <w:spacing w:before="156" w:after="156"/>
      </w:pPr>
      <w:r>
        <w:rPr>
          <w:rFonts w:hint="eastAsia"/>
        </w:rPr>
        <w:t>防治原则</w:t>
      </w:r>
      <w:r>
        <w:rPr>
          <w:rFonts w:hint="eastAsia"/>
        </w:rPr>
        <w:tab/>
      </w:r>
    </w:p>
    <w:p>
      <w:pPr>
        <w:pStyle w:val="20"/>
      </w:pPr>
      <w:r>
        <w:rPr>
          <w:rFonts w:hint="eastAsia"/>
        </w:rPr>
        <w:t>按照“预防为主，综合防治”的植保方针，以农业和物理防治为基础，生物防治为核心，按照病菌、虫害的发生规律和经济阈值，科学使用化学防治技术，有效控制病虫危害。大樱桃主要病虫害防治见参附录 A（资料性附录）。</w:t>
      </w:r>
    </w:p>
    <w:p>
      <w:pPr>
        <w:pStyle w:val="39"/>
        <w:spacing w:before="156" w:after="156"/>
      </w:pPr>
      <w:r>
        <w:rPr>
          <w:rFonts w:hint="eastAsia"/>
        </w:rPr>
        <w:t>农业防治</w:t>
      </w:r>
    </w:p>
    <w:p>
      <w:pPr>
        <w:pStyle w:val="20"/>
      </w:pPr>
      <w:r>
        <w:rPr>
          <w:rFonts w:hint="eastAsia"/>
        </w:rPr>
        <w:tab/>
      </w:r>
      <w:r>
        <w:rPr>
          <w:rFonts w:hint="eastAsia"/>
        </w:rPr>
        <w:t>采取剪除病虫枝、清除枯枝落叶、刮除树干翘皮、翻树盘、合理轮作、地面秸秆覆盖、科学施肥等措施，调整果树营养状况，提高树体抗病能力，抑制病虫害发生。</w:t>
      </w:r>
    </w:p>
    <w:p>
      <w:pPr>
        <w:pStyle w:val="39"/>
        <w:spacing w:before="156" w:after="156"/>
      </w:pPr>
      <w:r>
        <w:rPr>
          <w:rFonts w:hint="eastAsia"/>
        </w:rPr>
        <w:t>物理防治</w:t>
      </w:r>
    </w:p>
    <w:p>
      <w:pPr>
        <w:pStyle w:val="20"/>
      </w:pPr>
      <w:r>
        <w:rPr>
          <w:rFonts w:hint="eastAsia"/>
        </w:rPr>
        <w:t>根据害虫生物学特性，采取糖醋液、枝缠草绳和黑光灯等方法防治害虫。</w:t>
      </w:r>
    </w:p>
    <w:p>
      <w:pPr>
        <w:pStyle w:val="39"/>
        <w:spacing w:before="156" w:after="156"/>
      </w:pPr>
      <w:r>
        <w:rPr>
          <w:rFonts w:hint="eastAsia"/>
        </w:rPr>
        <w:t>生物防治</w:t>
      </w:r>
    </w:p>
    <w:p>
      <w:pPr>
        <w:pStyle w:val="20"/>
      </w:pPr>
      <w:r>
        <w:rPr>
          <w:rFonts w:hint="eastAsia"/>
        </w:rPr>
        <w:t>人工释放赤眼蜂，助迁和保护瓢虫、草蛉、捕食螨等天敌，利用昆虫性外激素干扰成虫交配。</w:t>
      </w:r>
    </w:p>
    <w:p>
      <w:pPr>
        <w:pStyle w:val="39"/>
        <w:spacing w:before="156" w:after="156"/>
      </w:pPr>
      <w:r>
        <w:rPr>
          <w:rFonts w:hint="eastAsia"/>
        </w:rPr>
        <w:t>化学防治</w:t>
      </w:r>
    </w:p>
    <w:p>
      <w:pPr>
        <w:pStyle w:val="20"/>
      </w:pPr>
      <w:r>
        <w:rPr>
          <w:rFonts w:hint="eastAsia"/>
        </w:rPr>
        <w:t>按照GB 4285、GB/T 8321（所有部分）的规定执行。</w:t>
      </w:r>
    </w:p>
    <w:p>
      <w:pPr>
        <w:pStyle w:val="42"/>
        <w:spacing w:before="312" w:after="312"/>
      </w:pPr>
      <w:bookmarkStart w:id="66" w:name="_Toc370752295"/>
      <w:bookmarkStart w:id="67" w:name="_Toc8126"/>
      <w:bookmarkStart w:id="68" w:name="_Toc370746616"/>
      <w:bookmarkStart w:id="69" w:name="_Toc371410101"/>
      <w:bookmarkStart w:id="70" w:name="_Toc370985934"/>
      <w:bookmarkStart w:id="71" w:name="_Toc371373839"/>
      <w:bookmarkStart w:id="72" w:name="_Toc371432182"/>
      <w:r>
        <w:rPr>
          <w:rFonts w:hint="eastAsia"/>
        </w:rPr>
        <w:t>果实的采收和包装</w:t>
      </w:r>
      <w:bookmarkEnd w:id="66"/>
      <w:bookmarkEnd w:id="67"/>
      <w:bookmarkEnd w:id="68"/>
      <w:bookmarkEnd w:id="69"/>
      <w:bookmarkEnd w:id="70"/>
      <w:bookmarkEnd w:id="71"/>
      <w:bookmarkEnd w:id="72"/>
    </w:p>
    <w:p>
      <w:pPr>
        <w:pStyle w:val="39"/>
        <w:spacing w:before="156" w:after="156"/>
      </w:pPr>
      <w:r>
        <w:rPr>
          <w:rFonts w:hint="eastAsia"/>
        </w:rPr>
        <w:t>采收时期</w:t>
      </w:r>
    </w:p>
    <w:p>
      <w:pPr>
        <w:pStyle w:val="20"/>
      </w:pPr>
      <w:r>
        <w:rPr>
          <w:rFonts w:hint="eastAsia"/>
        </w:rPr>
        <w:t>就地销售的应在果实充分成熟时采收；长途运输或贮藏保鲜的应在八、九分熟时采收。树冠不同部位及每花序内的果实的成熟期有差异，需分批采收。</w:t>
      </w:r>
    </w:p>
    <w:p>
      <w:pPr>
        <w:pStyle w:val="39"/>
        <w:spacing w:before="156" w:after="156"/>
      </w:pPr>
      <w:r>
        <w:rPr>
          <w:rFonts w:hint="eastAsia"/>
        </w:rPr>
        <w:t>采收方法</w:t>
      </w:r>
    </w:p>
    <w:p>
      <w:pPr>
        <w:pStyle w:val="20"/>
      </w:pPr>
      <w:r>
        <w:rPr>
          <w:rFonts w:hint="eastAsia"/>
        </w:rPr>
        <w:t>采收前准备好采果梯、采果篮等工具，中午高温、雨天、露水未干时不宜采收，以晴天露水干后的上午或傍晚气温较低时采收为好。采收时应保留果梗，采摘下来的果实，轻拿轻放，存放于园中干净阴凉处，及时剔除病果、僵果、烂果。</w:t>
      </w:r>
    </w:p>
    <w:p>
      <w:pPr>
        <w:pStyle w:val="39"/>
        <w:spacing w:before="156" w:after="156"/>
      </w:pPr>
      <w:r>
        <w:rPr>
          <w:rFonts w:hint="eastAsia"/>
        </w:rPr>
        <w:t>分级包装</w:t>
      </w:r>
    </w:p>
    <w:p>
      <w:pPr>
        <w:pStyle w:val="20"/>
        <w:rPr>
          <w:rFonts w:hint="eastAsia"/>
        </w:rPr>
      </w:pPr>
      <w:r>
        <w:rPr>
          <w:rFonts w:hint="eastAsia"/>
        </w:rPr>
        <w:t>大樱桃采收后一次性分级包装好，用大包装时最好用硬质塑料箱，以免造成挤压。小包装（零售包装）一般采用纸或无毒硬塑制的盒或盘。</w:t>
      </w:r>
    </w:p>
    <w:p>
      <w:pPr>
        <w:pStyle w:val="20"/>
        <w:rPr>
          <w:rFonts w:hint="eastAsia"/>
        </w:rPr>
      </w:pPr>
    </w:p>
    <w:p>
      <w:pPr>
        <w:pStyle w:val="42"/>
        <w:spacing w:before="312" w:after="312"/>
        <w:rPr>
          <w:rFonts w:hint="default"/>
          <w:lang w:val="en-US" w:eastAsia="zh-CN"/>
        </w:rPr>
      </w:pPr>
      <w:bookmarkStart w:id="73" w:name="_Toc6911"/>
      <w:r>
        <w:rPr>
          <w:rFonts w:hint="eastAsia"/>
          <w:lang w:val="en-US" w:eastAsia="zh-CN"/>
        </w:rPr>
        <w:t>生产档案</w:t>
      </w:r>
      <w:bookmarkEnd w:id="73"/>
    </w:p>
    <w:p>
      <w:pPr>
        <w:pStyle w:val="95"/>
      </w:pPr>
    </w:p>
    <w:p>
      <w:pPr>
        <w:pStyle w:val="83"/>
      </w:pPr>
    </w:p>
    <w:p>
      <w:pPr>
        <w:pStyle w:val="81"/>
      </w:pPr>
      <w:bookmarkStart w:id="74" w:name="_Toc28190"/>
      <w:bookmarkEnd w:id="74"/>
    </w:p>
    <w:p>
      <w:pPr>
        <w:pStyle w:val="81"/>
        <w:keepNext/>
        <w:keepLines w:val="0"/>
        <w:pageBreakBefore w:val="0"/>
        <w:widowControl/>
        <w:numPr>
          <w:ilvl w:val="0"/>
          <w:numId w:val="0"/>
        </w:numPr>
        <w:kinsoku/>
        <w:wordWrap/>
        <w:overflowPunct/>
        <w:topLinePunct w:val="0"/>
        <w:autoSpaceDE/>
        <w:autoSpaceDN/>
        <w:bidi w:val="0"/>
        <w:adjustRightInd/>
        <w:snapToGrid/>
        <w:spacing w:before="400" w:after="160"/>
        <w:ind w:leftChars="0"/>
        <w:jc w:val="center"/>
        <w:textAlignment w:val="auto"/>
        <w:rPr>
          <w:rFonts w:hint="eastAsia"/>
        </w:rPr>
      </w:pPr>
      <w:bookmarkStart w:id="75" w:name="_Toc21834"/>
      <w:r>
        <w:rPr>
          <w:rFonts w:hint="eastAsia"/>
        </w:rPr>
        <w:t>（资料性附录）</w:t>
      </w:r>
      <w:r>
        <w:br w:type="textWrapping"/>
      </w:r>
      <w:r>
        <w:rPr>
          <w:rFonts w:hint="eastAsia"/>
        </w:rPr>
        <w:t>大樱桃主要病虫害及其防治</w:t>
      </w:r>
      <w:bookmarkEnd w:id="75"/>
    </w:p>
    <w:p>
      <w:pPr>
        <w:pStyle w:val="20"/>
        <w:rPr>
          <w:rFonts w:hint="eastAsia"/>
        </w:rPr>
      </w:pPr>
    </w:p>
    <w:p>
      <w:pPr>
        <w:pStyle w:val="20"/>
      </w:pPr>
      <w:r>
        <w:rPr>
          <w:rFonts w:hint="eastAsia"/>
        </w:rPr>
        <w:t>大樱桃主要病虫害防治方法见表A.1。</w:t>
      </w:r>
    </w:p>
    <w:p>
      <w:pPr>
        <w:pStyle w:val="84"/>
        <w:spacing w:before="156" w:after="156"/>
      </w:pPr>
      <w:r>
        <w:rPr>
          <w:rFonts w:hint="eastAsia"/>
        </w:rPr>
        <w:t>大樱桃主要病虫害防治方法</w:t>
      </w:r>
    </w:p>
    <w:tbl>
      <w:tblPr>
        <w:tblStyle w:val="30"/>
        <w:tblW w:w="0" w:type="auto"/>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2009"/>
        <w:gridCol w:w="7561"/>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2009" w:type="dxa"/>
            <w:tcBorders>
              <w:top w:val="single" w:color="auto" w:sz="4" w:space="0"/>
              <w:left w:val="single" w:color="auto" w:sz="4" w:space="0"/>
              <w:bottom w:val="single" w:color="auto" w:sz="4" w:space="0"/>
              <w:right w:val="single" w:color="auto" w:sz="4" w:space="0"/>
              <w:insideH w:val="nil"/>
              <w:insideV w:val="nil"/>
              <w:tl2br w:val="single" w:color="000000" w:sz="6" w:space="0"/>
              <w:tr2bl w:val="nil"/>
            </w:tcBorders>
            <w:shd w:val="clear" w:color="auto" w:fill="auto"/>
          </w:tcPr>
          <w:p>
            <w:pPr>
              <w:rPr>
                <w:rFonts w:hint="eastAsia"/>
              </w:rPr>
            </w:pPr>
            <w:r>
              <w:rPr>
                <w:rFonts w:hint="eastAsia"/>
              </w:rPr>
              <w:t>病虫名称</w:t>
            </w:r>
          </w:p>
        </w:tc>
        <w:tc>
          <w:tcPr>
            <w:tcW w:w="7561" w:type="dxa"/>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auto"/>
          </w:tcPr>
          <w:p>
            <w:pPr>
              <w:rPr>
                <w:rFonts w:hint="eastAsia"/>
              </w:rPr>
            </w:pPr>
            <w:r>
              <w:rPr>
                <w:rFonts w:hint="eastAsia"/>
              </w:rPr>
              <w:t>防治方法</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2009" w:type="dxa"/>
            <w:tcBorders>
              <w:top w:val="single" w:color="auto" w:sz="4" w:space="0"/>
            </w:tcBorders>
            <w:shd w:val="clear" w:color="auto" w:fill="auto"/>
          </w:tcPr>
          <w:p>
            <w:r>
              <w:rPr>
                <w:rFonts w:hint="eastAsia"/>
              </w:rPr>
              <w:t>红颈天牛</w:t>
            </w:r>
          </w:p>
        </w:tc>
        <w:tc>
          <w:tcPr>
            <w:tcW w:w="7561" w:type="dxa"/>
            <w:tcBorders>
              <w:top w:val="single" w:color="auto" w:sz="4" w:space="0"/>
            </w:tcBorders>
            <w:shd w:val="clear" w:color="auto" w:fill="auto"/>
          </w:tcPr>
          <w:p>
            <w:r>
              <w:rPr>
                <w:rFonts w:hint="eastAsia"/>
              </w:rPr>
              <w:t>1.成虫发生前枝干上涂白涂剂；</w:t>
            </w:r>
          </w:p>
          <w:p>
            <w:r>
              <w:rPr>
                <w:rFonts w:hint="eastAsia"/>
              </w:rPr>
              <w:t>2.成虫发生期的中午，人工捕捉；</w:t>
            </w:r>
          </w:p>
          <w:p>
            <w:r>
              <w:rPr>
                <w:rFonts w:hint="eastAsia"/>
              </w:rPr>
              <w:t>3.7～8月份枝上找蛀孔人工掏挖。</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2009" w:type="dxa"/>
            <w:shd w:val="clear" w:color="auto" w:fill="auto"/>
          </w:tcPr>
          <w:p>
            <w:r>
              <w:rPr>
                <w:rFonts w:hint="eastAsia"/>
              </w:rPr>
              <w:t>桑白蚧壳虫</w:t>
            </w:r>
          </w:p>
        </w:tc>
        <w:tc>
          <w:tcPr>
            <w:tcW w:w="7561" w:type="dxa"/>
            <w:shd w:val="clear" w:color="auto" w:fill="auto"/>
          </w:tcPr>
          <w:p>
            <w:r>
              <w:rPr>
                <w:rFonts w:hint="eastAsia"/>
              </w:rPr>
              <w:t>早春萌芽前用木板条或硬刷人工刷除。</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Ex>
        <w:tc>
          <w:tcPr>
            <w:tcW w:w="2009" w:type="dxa"/>
            <w:shd w:val="clear" w:color="auto" w:fill="auto"/>
          </w:tcPr>
          <w:p>
            <w:r>
              <w:rPr>
                <w:rFonts w:hint="eastAsia"/>
              </w:rPr>
              <w:t>山楂红蜘蛛</w:t>
            </w:r>
          </w:p>
        </w:tc>
        <w:tc>
          <w:tcPr>
            <w:tcW w:w="7561" w:type="dxa"/>
            <w:shd w:val="clear" w:color="auto" w:fill="auto"/>
          </w:tcPr>
          <w:p>
            <w:r>
              <w:rPr>
                <w:rFonts w:hint="eastAsia"/>
              </w:rPr>
              <w:t>1.早春发芽前刮老翘皮或于9月份雌螨越冬前主枝上绑草把诱集，于早春出蛰前取下集中烧毁；</w:t>
            </w:r>
          </w:p>
          <w:p>
            <w:r>
              <w:rPr>
                <w:rFonts w:hint="eastAsia"/>
              </w:rPr>
              <w:t>2.萌芽前喷5度石硫合剂；</w:t>
            </w:r>
          </w:p>
          <w:p>
            <w:r>
              <w:rPr>
                <w:rFonts w:hint="eastAsia"/>
              </w:rPr>
              <w:t>3.出蛰期及花前用0.5度石硫合剂喷洒；</w:t>
            </w:r>
          </w:p>
          <w:p>
            <w:r>
              <w:rPr>
                <w:rFonts w:hint="eastAsia"/>
              </w:rPr>
              <w:t>4.第一代卵及孵化盛期喷0.3度石硫合剂；</w:t>
            </w:r>
          </w:p>
          <w:p>
            <w:r>
              <w:rPr>
                <w:rFonts w:hint="eastAsia"/>
              </w:rPr>
              <w:t>5.夏季20%四螨嗪悬浮剂3000倍杀卵和若虫；20%哒螨灵乳油2000~3000倍杀若虫和成虫。</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2009" w:type="dxa"/>
            <w:shd w:val="clear" w:color="auto" w:fill="auto"/>
          </w:tcPr>
          <w:p>
            <w:r>
              <w:rPr>
                <w:rFonts w:hint="eastAsia"/>
              </w:rPr>
              <w:t>金龟子类</w:t>
            </w:r>
          </w:p>
        </w:tc>
        <w:tc>
          <w:tcPr>
            <w:tcW w:w="7561" w:type="dxa"/>
            <w:shd w:val="clear" w:color="auto" w:fill="auto"/>
          </w:tcPr>
          <w:p>
            <w:r>
              <w:rPr>
                <w:rFonts w:hint="eastAsia"/>
              </w:rPr>
              <w:t>1.成虫发生期，早晚震落的方法进行捕杀；</w:t>
            </w:r>
          </w:p>
          <w:p>
            <w:r>
              <w:rPr>
                <w:rFonts w:hint="eastAsia"/>
              </w:rPr>
              <w:t xml:space="preserve">2.利用糖醋液或黑光灯诱杀成虫。 </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2009" w:type="dxa"/>
            <w:shd w:val="clear" w:color="auto" w:fill="auto"/>
          </w:tcPr>
          <w:p>
            <w:r>
              <w:rPr>
                <w:rFonts w:hint="eastAsia"/>
              </w:rPr>
              <w:t>樱桃穿孔性褐斑病</w:t>
            </w:r>
          </w:p>
        </w:tc>
        <w:tc>
          <w:tcPr>
            <w:tcW w:w="7561" w:type="dxa"/>
            <w:shd w:val="clear" w:color="auto" w:fill="auto"/>
          </w:tcPr>
          <w:p>
            <w:r>
              <w:rPr>
                <w:rFonts w:hint="eastAsia"/>
              </w:rPr>
              <w:t>1.加强肥水管理，提高树体抵抗力；</w:t>
            </w:r>
          </w:p>
          <w:p>
            <w:r>
              <w:rPr>
                <w:rFonts w:hint="eastAsia"/>
              </w:rPr>
              <w:t>2.萌芽前喷5度石硫合剂；</w:t>
            </w:r>
          </w:p>
          <w:p>
            <w:r>
              <w:rPr>
                <w:rFonts w:hint="eastAsia"/>
              </w:rPr>
              <w:t xml:space="preserve">3.生长季喷50%异菌脲可湿性粉剂1500 倍。 </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2009" w:type="dxa"/>
            <w:shd w:val="clear" w:color="auto" w:fill="auto"/>
          </w:tcPr>
          <w:p>
            <w:r>
              <w:rPr>
                <w:rFonts w:hint="eastAsia"/>
              </w:rPr>
              <w:t>根癌病</w:t>
            </w:r>
          </w:p>
        </w:tc>
        <w:tc>
          <w:tcPr>
            <w:tcW w:w="7561" w:type="dxa"/>
            <w:shd w:val="clear" w:color="auto" w:fill="auto"/>
          </w:tcPr>
          <w:p>
            <w:r>
              <w:rPr>
                <w:rFonts w:hint="eastAsia"/>
              </w:rPr>
              <w:t>1.选用抗病品种；</w:t>
            </w:r>
          </w:p>
          <w:p>
            <w:r>
              <w:rPr>
                <w:rFonts w:hint="eastAsia"/>
              </w:rPr>
              <w:t>2.忌前茬为核果；</w:t>
            </w:r>
          </w:p>
          <w:p>
            <w:r>
              <w:rPr>
                <w:rFonts w:hint="eastAsia"/>
              </w:rPr>
              <w:t>3.对已发病树，严重的要挖除，轻的可扒开根部，切除根癌后，用1.8%辛菌胺醋酸盐30～50倍灌根。</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Ex>
        <w:tc>
          <w:tcPr>
            <w:tcW w:w="2009" w:type="dxa"/>
            <w:shd w:val="clear" w:color="auto" w:fill="auto"/>
          </w:tcPr>
          <w:p>
            <w:r>
              <w:rPr>
                <w:rFonts w:hint="eastAsia"/>
              </w:rPr>
              <w:t xml:space="preserve">枝干干腐病 </w:t>
            </w:r>
          </w:p>
        </w:tc>
        <w:tc>
          <w:tcPr>
            <w:tcW w:w="7561" w:type="dxa"/>
            <w:shd w:val="clear" w:color="auto" w:fill="auto"/>
          </w:tcPr>
          <w:p>
            <w:r>
              <w:rPr>
                <w:rFonts w:hint="eastAsia"/>
              </w:rPr>
              <w:t>1.加强树势，提高抗病力，减少机械损伤和冻伤；</w:t>
            </w:r>
          </w:p>
          <w:p>
            <w:r>
              <w:rPr>
                <w:rFonts w:hint="eastAsia"/>
              </w:rPr>
              <w:t>2.萌芽前喷布5°Be石硫合剂；</w:t>
            </w:r>
          </w:p>
          <w:p>
            <w:r>
              <w:rPr>
                <w:rFonts w:hint="eastAsia"/>
              </w:rPr>
              <w:t>3.及时刮除病斑。</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2009" w:type="dxa"/>
            <w:shd w:val="clear" w:color="auto" w:fill="auto"/>
          </w:tcPr>
          <w:p>
            <w:r>
              <w:rPr>
                <w:rFonts w:hint="eastAsia"/>
              </w:rPr>
              <w:t>流胶病</w:t>
            </w:r>
          </w:p>
        </w:tc>
        <w:tc>
          <w:tcPr>
            <w:tcW w:w="7561" w:type="dxa"/>
            <w:shd w:val="clear" w:color="auto" w:fill="auto"/>
          </w:tcPr>
          <w:p>
            <w:r>
              <w:rPr>
                <w:rFonts w:hint="eastAsia"/>
              </w:rPr>
              <w:t>1.注意排涝，保持土壤通透；</w:t>
            </w:r>
          </w:p>
          <w:p>
            <w:r>
              <w:rPr>
                <w:rFonts w:hint="eastAsia"/>
              </w:rPr>
              <w:t>2.修剪时伤口尽量小，减少机械伤；</w:t>
            </w:r>
          </w:p>
          <w:p>
            <w:r>
              <w:rPr>
                <w:rFonts w:hint="eastAsia"/>
              </w:rPr>
              <w:t>3.</w:t>
            </w:r>
            <w:r>
              <w:t>3</w:t>
            </w:r>
            <w:r>
              <w:rPr>
                <w:rFonts w:hint="eastAsia"/>
              </w:rPr>
              <w:t>月上中旬树干涂刷1.8%辛菌胺醋酸盐</w:t>
            </w:r>
            <w:r>
              <w:t>5</w:t>
            </w:r>
            <w:r>
              <w:rPr>
                <w:rFonts w:hint="eastAsia"/>
              </w:rPr>
              <w:t>～</w:t>
            </w:r>
            <w:r>
              <w:t>10</w:t>
            </w:r>
            <w:r>
              <w:rPr>
                <w:rFonts w:hint="eastAsia"/>
              </w:rPr>
              <w:t>倍液；生长季发现流胶，随时涂刷1.8%辛菌胺醋酸盐药液；</w:t>
            </w:r>
          </w:p>
          <w:p>
            <w:r>
              <w:rPr>
                <w:rFonts w:hint="eastAsia"/>
              </w:rPr>
              <w:t>4.秋季树干涂抹白涂剂。</w:t>
            </w:r>
          </w:p>
        </w:tc>
      </w:tr>
    </w:tbl>
    <w:p>
      <w:pPr>
        <w:pStyle w:val="20"/>
        <w:ind w:left="0" w:leftChars="0" w:firstLine="0" w:firstLineChars="0"/>
        <w:rPr>
          <w:rFonts w:hint="eastAsia"/>
        </w:rPr>
      </w:pPr>
    </w:p>
    <w:p>
      <w:pPr>
        <w:pStyle w:val="20"/>
        <w:rPr>
          <w:rFonts w:hint="eastAsia"/>
        </w:rPr>
      </w:pPr>
    </w:p>
    <w:p>
      <w:pPr>
        <w:pStyle w:val="20"/>
        <w:rPr>
          <w:rFonts w:hint="eastAsia"/>
        </w:rPr>
      </w:pPr>
    </w:p>
    <w:p>
      <w:pPr>
        <w:pStyle w:val="81"/>
      </w:pPr>
      <w:bookmarkStart w:id="76" w:name="_Toc12442"/>
      <w:bookmarkEnd w:id="76"/>
    </w:p>
    <w:p>
      <w:pPr>
        <w:pStyle w:val="81"/>
        <w:keepNext/>
        <w:keepLines w:val="0"/>
        <w:pageBreakBefore w:val="0"/>
        <w:widowControl/>
        <w:numPr>
          <w:ilvl w:val="0"/>
          <w:numId w:val="0"/>
        </w:numPr>
        <w:kinsoku/>
        <w:wordWrap/>
        <w:overflowPunct/>
        <w:topLinePunct w:val="0"/>
        <w:autoSpaceDE/>
        <w:autoSpaceDN/>
        <w:bidi w:val="0"/>
        <w:adjustRightInd/>
        <w:snapToGrid/>
        <w:spacing w:before="400" w:after="160"/>
        <w:ind w:leftChars="0"/>
        <w:jc w:val="center"/>
        <w:textAlignment w:val="auto"/>
        <w:rPr>
          <w:rFonts w:hint="eastAsia"/>
        </w:rPr>
      </w:pPr>
      <w:bookmarkStart w:id="77" w:name="_Toc5346"/>
      <w:r>
        <w:rPr>
          <w:rFonts w:hint="eastAsia"/>
        </w:rPr>
        <w:t>（资料性附录）</w:t>
      </w:r>
      <w:r>
        <w:br w:type="textWrapping"/>
      </w:r>
      <w:r>
        <w:rPr>
          <w:rFonts w:hint="eastAsia"/>
          <w:lang w:val="en-US" w:eastAsia="zh-CN"/>
        </w:rPr>
        <w:t>大樱桃适载品种及授粉品种</w:t>
      </w:r>
      <w:bookmarkEnd w:id="77"/>
    </w:p>
    <w:p>
      <w:pPr>
        <w:pStyle w:val="20"/>
      </w:pP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9"/>
        <w:gridCol w:w="2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9" w:type="dxa"/>
            <w:vAlign w:val="center"/>
          </w:tcPr>
          <w:p>
            <w:pPr>
              <w:jc w:val="center"/>
              <w:rPr>
                <w:vertAlign w:val="baseline"/>
              </w:rPr>
            </w:pPr>
            <w:r>
              <w:rPr>
                <w:rFonts w:hint="eastAsia"/>
                <w:vertAlign w:val="baseline"/>
                <w:lang w:val="en-US" w:eastAsia="zh-CN"/>
              </w:rPr>
              <w:t>适载品种</w:t>
            </w:r>
          </w:p>
        </w:tc>
        <w:tc>
          <w:tcPr>
            <w:tcW w:w="2871" w:type="dxa"/>
            <w:vAlign w:val="center"/>
          </w:tcPr>
          <w:p>
            <w:pPr>
              <w:jc w:val="center"/>
              <w:rPr>
                <w:rFonts w:hint="default" w:eastAsiaTheme="minorEastAsia"/>
                <w:vertAlign w:val="baseline"/>
                <w:lang w:val="en-US" w:eastAsia="zh-CN"/>
              </w:rPr>
            </w:pPr>
            <w:r>
              <w:rPr>
                <w:rFonts w:hint="eastAsia"/>
                <w:vertAlign w:val="baseline"/>
                <w:lang w:val="en-US" w:eastAsia="zh-CN"/>
              </w:rPr>
              <w:t>授粉品种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9" w:type="dxa"/>
            <w:vAlign w:val="center"/>
          </w:tcPr>
          <w:p>
            <w:pPr>
              <w:jc w:val="center"/>
              <w:rPr>
                <w:rFonts w:hint="default" w:eastAsiaTheme="minorEastAsia"/>
                <w:vertAlign w:val="baseline"/>
                <w:lang w:val="en-US" w:eastAsia="zh-CN"/>
              </w:rPr>
            </w:pPr>
            <w:r>
              <w:rPr>
                <w:rFonts w:hint="eastAsia"/>
                <w:vertAlign w:val="baseline"/>
                <w:lang w:val="en-US" w:eastAsia="zh-CN"/>
              </w:rPr>
              <w:t>意大利早红</w:t>
            </w:r>
          </w:p>
        </w:tc>
        <w:tc>
          <w:tcPr>
            <w:tcW w:w="2871" w:type="dxa"/>
            <w:vAlign w:val="center"/>
          </w:tcPr>
          <w:p>
            <w:pPr>
              <w:jc w:val="center"/>
              <w:rPr>
                <w:rFonts w:hint="default"/>
                <w:vertAlign w:val="baseline"/>
                <w:lang w:val="en-US" w:eastAsia="zh-CN"/>
              </w:rPr>
            </w:pPr>
            <w:r>
              <w:rPr>
                <w:rFonts w:hint="eastAsia"/>
                <w:vertAlign w:val="baseline"/>
                <w:lang w:val="en-US" w:eastAsia="zh-CN"/>
              </w:rPr>
              <w:t>红灯、先锋、芝罘红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9" w:type="dxa"/>
            <w:vAlign w:val="center"/>
          </w:tcPr>
          <w:p>
            <w:pPr>
              <w:jc w:val="center"/>
              <w:rPr>
                <w:rFonts w:hint="default"/>
                <w:vertAlign w:val="baseline"/>
                <w:lang w:val="en-US" w:eastAsia="zh-CN"/>
              </w:rPr>
            </w:pPr>
            <w:r>
              <w:rPr>
                <w:rFonts w:hint="eastAsia"/>
                <w:vertAlign w:val="baseline"/>
                <w:lang w:val="en-US" w:eastAsia="zh-CN"/>
              </w:rPr>
              <w:t>早大果</w:t>
            </w:r>
          </w:p>
        </w:tc>
        <w:tc>
          <w:tcPr>
            <w:tcW w:w="2871" w:type="dxa"/>
            <w:vAlign w:val="center"/>
          </w:tcPr>
          <w:p>
            <w:pPr>
              <w:jc w:val="center"/>
              <w:rPr>
                <w:rFonts w:hint="default"/>
                <w:vertAlign w:val="baseline"/>
                <w:lang w:val="en-US" w:eastAsia="zh-CN"/>
              </w:rPr>
            </w:pPr>
            <w:r>
              <w:rPr>
                <w:rFonts w:hint="eastAsia"/>
                <w:vertAlign w:val="baseline"/>
                <w:lang w:val="en-US" w:eastAsia="zh-CN"/>
              </w:rPr>
              <w:t>红灯、雷尼、拉宾斯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689" w:type="dxa"/>
            <w:shd w:val="clear" w:color="auto" w:fill="auto"/>
            <w:vAlign w:val="center"/>
          </w:tcPr>
          <w:p>
            <w:pPr>
              <w:jc w:val="cente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红灯</w:t>
            </w:r>
          </w:p>
        </w:tc>
        <w:tc>
          <w:tcPr>
            <w:tcW w:w="2871" w:type="dxa"/>
            <w:shd w:val="clear" w:color="auto" w:fill="auto"/>
            <w:vAlign w:val="center"/>
          </w:tcPr>
          <w:p>
            <w:pPr>
              <w:jc w:val="center"/>
              <w:rPr>
                <w:rFonts w:hint="default" w:asciiTheme="minorHAnsi" w:hAnsiTheme="minorHAnsi"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美早、萨米脱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9" w:type="dxa"/>
            <w:shd w:val="clear" w:color="auto" w:fill="auto"/>
            <w:vAlign w:val="center"/>
          </w:tcPr>
          <w:p>
            <w:pPr>
              <w:jc w:val="cente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布鲁克斯</w:t>
            </w:r>
          </w:p>
        </w:tc>
        <w:tc>
          <w:tcPr>
            <w:tcW w:w="2871" w:type="dxa"/>
            <w:shd w:val="clear" w:color="auto" w:fill="auto"/>
            <w:vAlign w:val="center"/>
          </w:tcPr>
          <w:p>
            <w:pPr>
              <w:jc w:val="center"/>
              <w:rPr>
                <w:rFonts w:hint="default" w:asciiTheme="minorHAnsi" w:hAnsiTheme="minorHAnsi"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红灯、美早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9" w:type="dxa"/>
            <w:shd w:val="clear" w:color="auto" w:fill="auto"/>
            <w:vAlign w:val="center"/>
          </w:tcPr>
          <w:p>
            <w:pPr>
              <w:jc w:val="center"/>
              <w:rPr>
                <w:rFonts w:hint="eastAsia" w:asciiTheme="minorHAnsi" w:hAnsiTheme="minorHAnsi" w:eastAsiaTheme="minorEastAsia" w:cstheme="minorBidi"/>
                <w:kern w:val="2"/>
                <w:sz w:val="21"/>
                <w:szCs w:val="24"/>
                <w:vertAlign w:val="baseline"/>
                <w:lang w:val="en-US" w:eastAsia="zh-CN" w:bidi="ar-SA"/>
              </w:rPr>
            </w:pPr>
            <w:r>
              <w:rPr>
                <w:rFonts w:hint="eastAsia"/>
              </w:rPr>
              <w:t>美早</w:t>
            </w:r>
          </w:p>
        </w:tc>
        <w:tc>
          <w:tcPr>
            <w:tcW w:w="2871" w:type="dxa"/>
            <w:shd w:val="clear" w:color="auto" w:fill="auto"/>
            <w:vAlign w:val="center"/>
          </w:tcPr>
          <w:p>
            <w:pPr>
              <w:jc w:val="center"/>
              <w:rPr>
                <w:rFonts w:asciiTheme="minorHAnsi" w:hAnsiTheme="minorHAnsi" w:eastAsiaTheme="minorEastAsia" w:cstheme="minorBidi"/>
                <w:kern w:val="2"/>
                <w:sz w:val="21"/>
                <w:szCs w:val="24"/>
                <w:vertAlign w:val="baseline"/>
                <w:lang w:val="en-US" w:eastAsia="zh-CN" w:bidi="ar-SA"/>
              </w:rPr>
            </w:pPr>
            <w:r>
              <w:rPr>
                <w:rFonts w:hint="eastAsia"/>
              </w:rPr>
              <w:t>先锋、布鲁克斯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9" w:type="dxa"/>
            <w:shd w:val="clear" w:color="auto" w:fill="auto"/>
            <w:vAlign w:val="center"/>
          </w:tcPr>
          <w:p>
            <w:pPr>
              <w:jc w:val="center"/>
              <w:rPr>
                <w:rFonts w:hint="default" w:asciiTheme="minorHAnsi" w:hAnsiTheme="minorHAnsi"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友谊</w:t>
            </w:r>
          </w:p>
        </w:tc>
        <w:tc>
          <w:tcPr>
            <w:tcW w:w="2871" w:type="dxa"/>
            <w:shd w:val="clear" w:color="auto" w:fill="auto"/>
            <w:vAlign w:val="center"/>
          </w:tcPr>
          <w:p>
            <w:pPr>
              <w:jc w:val="center"/>
              <w:rPr>
                <w:rFonts w:hint="default" w:asciiTheme="minorHAnsi" w:hAnsiTheme="minorHAnsi"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先锋、拉宾斯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689" w:type="dxa"/>
            <w:shd w:val="clear" w:color="auto" w:fill="auto"/>
            <w:vAlign w:val="center"/>
          </w:tcPr>
          <w:p>
            <w:pPr>
              <w:jc w:val="center"/>
              <w:rPr>
                <w:rFonts w:hint="default"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俄罗斯八号</w:t>
            </w:r>
          </w:p>
        </w:tc>
        <w:tc>
          <w:tcPr>
            <w:tcW w:w="2871" w:type="dxa"/>
            <w:shd w:val="clear" w:color="auto" w:fill="auto"/>
            <w:vAlign w:val="center"/>
          </w:tcPr>
          <w:p>
            <w:pPr>
              <w:jc w:val="center"/>
              <w:rPr>
                <w:rFonts w:hint="default"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先锋、拉宾斯、萨米脱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9" w:type="dxa"/>
            <w:shd w:val="clear" w:color="auto" w:fill="auto"/>
            <w:vAlign w:val="center"/>
          </w:tcPr>
          <w:p>
            <w:pPr>
              <w:jc w:val="cente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红玛瑙</w:t>
            </w:r>
          </w:p>
        </w:tc>
        <w:tc>
          <w:tcPr>
            <w:tcW w:w="2871" w:type="dxa"/>
            <w:shd w:val="clear" w:color="auto" w:fill="auto"/>
            <w:vAlign w:val="center"/>
          </w:tcPr>
          <w:p>
            <w:pPr>
              <w:jc w:val="center"/>
              <w:rPr>
                <w:rFonts w:hint="default" w:asciiTheme="minorHAnsi" w:hAnsiTheme="minorHAnsi"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红灯、美早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9" w:type="dxa"/>
            <w:shd w:val="clear" w:color="auto" w:fill="auto"/>
            <w:vAlign w:val="center"/>
          </w:tcPr>
          <w:p>
            <w:pPr>
              <w:jc w:val="center"/>
              <w:rPr>
                <w:rFonts w:hint="eastAsia" w:asciiTheme="minorHAnsi" w:hAnsiTheme="minorHAnsi" w:eastAsiaTheme="minorEastAsia" w:cstheme="minorBidi"/>
                <w:kern w:val="2"/>
                <w:sz w:val="21"/>
                <w:szCs w:val="24"/>
                <w:vertAlign w:val="baseline"/>
                <w:lang w:val="en-US" w:eastAsia="zh-CN" w:bidi="ar-SA"/>
              </w:rPr>
            </w:pPr>
            <w:r>
              <w:rPr>
                <w:rFonts w:hint="eastAsia"/>
              </w:rPr>
              <w:t>萨米脱</w:t>
            </w:r>
          </w:p>
        </w:tc>
        <w:tc>
          <w:tcPr>
            <w:tcW w:w="2871" w:type="dxa"/>
            <w:shd w:val="clear" w:color="auto" w:fill="auto"/>
            <w:vAlign w:val="center"/>
          </w:tcPr>
          <w:p>
            <w:pPr>
              <w:jc w:val="center"/>
              <w:rPr>
                <w:rFonts w:asciiTheme="minorHAnsi" w:hAnsiTheme="minorHAnsi" w:eastAsiaTheme="minorEastAsia" w:cstheme="minorBidi"/>
                <w:kern w:val="2"/>
                <w:sz w:val="21"/>
                <w:szCs w:val="24"/>
                <w:vertAlign w:val="baseline"/>
                <w:lang w:val="en-US" w:eastAsia="zh-CN" w:bidi="ar-SA"/>
              </w:rPr>
            </w:pPr>
            <w:r>
              <w:rPr>
                <w:rFonts w:hint="eastAsia"/>
              </w:rPr>
              <w:t>红灯、早大果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9" w:type="dxa"/>
            <w:shd w:val="clear" w:color="auto" w:fill="auto"/>
            <w:vAlign w:val="center"/>
          </w:tcPr>
          <w:p>
            <w:pPr>
              <w:jc w:val="center"/>
              <w:rPr>
                <w:rFonts w:hint="eastAsia" w:eastAsiaTheme="minorEastAsia"/>
                <w:lang w:val="en-US" w:eastAsia="zh-CN"/>
              </w:rPr>
            </w:pPr>
            <w:r>
              <w:rPr>
                <w:rFonts w:hint="eastAsia"/>
                <w:lang w:val="en-US" w:eastAsia="zh-CN"/>
              </w:rPr>
              <w:t>先锋</w:t>
            </w:r>
          </w:p>
        </w:tc>
        <w:tc>
          <w:tcPr>
            <w:tcW w:w="2871" w:type="dxa"/>
            <w:shd w:val="clear" w:color="auto" w:fill="auto"/>
            <w:vAlign w:val="center"/>
          </w:tcPr>
          <w:p>
            <w:pPr>
              <w:jc w:val="center"/>
              <w:rPr>
                <w:rFonts w:hint="default" w:eastAsiaTheme="minorEastAsia"/>
                <w:lang w:val="en-US" w:eastAsia="zh-CN"/>
              </w:rPr>
            </w:pPr>
            <w:r>
              <w:rPr>
                <w:rFonts w:hint="eastAsia"/>
                <w:lang w:val="en-US" w:eastAsia="zh-CN"/>
              </w:rPr>
              <w:t>友谊、雷尼、胜利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689" w:type="dxa"/>
            <w:shd w:val="clear" w:color="auto" w:fill="auto"/>
            <w:vAlign w:val="center"/>
          </w:tcPr>
          <w:p>
            <w:pPr>
              <w:jc w:val="center"/>
              <w:rPr>
                <w:rFonts w:hint="default" w:asciiTheme="minorHAnsi" w:hAnsiTheme="minorHAnsi"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雷尼</w:t>
            </w:r>
          </w:p>
        </w:tc>
        <w:tc>
          <w:tcPr>
            <w:tcW w:w="2871" w:type="dxa"/>
            <w:shd w:val="clear" w:color="auto" w:fill="auto"/>
            <w:vAlign w:val="center"/>
          </w:tcPr>
          <w:p>
            <w:pPr>
              <w:jc w:val="center"/>
              <w:rPr>
                <w:rFonts w:hint="default" w:asciiTheme="minorHAnsi" w:hAnsiTheme="minorHAnsi"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先锋、艳阳、拉宾斯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9" w:type="dxa"/>
            <w:vAlign w:val="center"/>
          </w:tcPr>
          <w:p>
            <w:pPr>
              <w:jc w:val="center"/>
              <w:rPr>
                <w:vertAlign w:val="baseline"/>
              </w:rPr>
            </w:pPr>
            <w:r>
              <w:rPr>
                <w:rFonts w:hint="eastAsia"/>
              </w:rPr>
              <w:t>龙田晚红</w:t>
            </w:r>
          </w:p>
        </w:tc>
        <w:tc>
          <w:tcPr>
            <w:tcW w:w="2871" w:type="dxa"/>
            <w:vAlign w:val="center"/>
          </w:tcPr>
          <w:p>
            <w:pPr>
              <w:jc w:val="center"/>
              <w:rPr>
                <w:vertAlign w:val="baseline"/>
              </w:rPr>
            </w:pPr>
            <w:r>
              <w:rPr>
                <w:rFonts w:hint="eastAsia"/>
              </w:rPr>
              <w:t>俄罗斯八号、拉宾斯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9" w:type="dxa"/>
            <w:vAlign w:val="center"/>
          </w:tcPr>
          <w:p>
            <w:pPr>
              <w:jc w:val="center"/>
              <w:rPr>
                <w:rFonts w:hint="eastAsia" w:eastAsiaTheme="minorEastAsia"/>
                <w:vertAlign w:val="baseline"/>
                <w:lang w:val="en-US" w:eastAsia="zh-CN"/>
              </w:rPr>
            </w:pPr>
            <w:r>
              <w:rPr>
                <w:rFonts w:hint="eastAsia"/>
              </w:rPr>
              <w:t>拉宾斯</w:t>
            </w:r>
          </w:p>
        </w:tc>
        <w:tc>
          <w:tcPr>
            <w:tcW w:w="2871" w:type="dxa"/>
            <w:vAlign w:val="center"/>
          </w:tcPr>
          <w:p>
            <w:pPr>
              <w:jc w:val="center"/>
              <w:rPr>
                <w:rFonts w:hint="default" w:eastAsiaTheme="minorEastAsia"/>
                <w:vertAlign w:val="baseline"/>
                <w:lang w:val="en-US" w:eastAsia="zh-CN"/>
              </w:rPr>
            </w:pPr>
            <w:r>
              <w:rPr>
                <w:rFonts w:hint="eastAsia"/>
                <w:vertAlign w:val="baseline"/>
                <w:lang w:val="en-US" w:eastAsia="zh-CN"/>
              </w:rPr>
              <w:t>早大果、萨米脱</w:t>
            </w:r>
          </w:p>
        </w:tc>
      </w:tr>
    </w:tbl>
    <w:p>
      <w:pPr>
        <w:pStyle w:val="20"/>
      </w:pPr>
    </w:p>
    <w:p>
      <w:pPr>
        <w:pStyle w:val="20"/>
      </w:pPr>
    </w:p>
    <w:p>
      <w:pPr>
        <w:pStyle w:val="20"/>
      </w:pPr>
    </w:p>
    <w:p>
      <w:pPr>
        <w:pStyle w:val="20"/>
      </w:pPr>
    </w:p>
    <w:p>
      <w:pPr>
        <w:pStyle w:val="20"/>
      </w:pPr>
    </w:p>
    <w:p>
      <w:pPr>
        <w:pStyle w:val="20"/>
      </w:pPr>
    </w:p>
    <w:p>
      <w:pPr>
        <w:pStyle w:val="20"/>
      </w:pPr>
    </w:p>
    <w:p>
      <w:pPr>
        <w:pStyle w:val="81"/>
        <w:keepNext/>
        <w:keepLines w:val="0"/>
        <w:pageBreakBefore w:val="0"/>
        <w:widowControl/>
        <w:numPr>
          <w:ilvl w:val="0"/>
          <w:numId w:val="0"/>
        </w:numPr>
        <w:kinsoku/>
        <w:wordWrap/>
        <w:overflowPunct/>
        <w:topLinePunct w:val="0"/>
        <w:autoSpaceDE/>
        <w:autoSpaceDN/>
        <w:bidi w:val="0"/>
        <w:adjustRightInd/>
        <w:snapToGrid/>
        <w:spacing w:before="400" w:after="160"/>
        <w:ind w:leftChars="0"/>
        <w:jc w:val="both"/>
        <w:textAlignment w:val="auto"/>
      </w:pPr>
    </w:p>
    <w:p>
      <w:pPr>
        <w:pStyle w:val="20"/>
      </w:pPr>
    </w:p>
    <w:p>
      <w:pPr>
        <w:pStyle w:val="20"/>
      </w:pPr>
    </w:p>
    <w:p>
      <w:pPr>
        <w:pStyle w:val="20"/>
      </w:pPr>
    </w:p>
    <w:p>
      <w:pPr>
        <w:pStyle w:val="81"/>
      </w:pPr>
      <w:bookmarkStart w:id="78" w:name="_Toc19281"/>
      <w:bookmarkEnd w:id="78"/>
    </w:p>
    <w:p>
      <w:pPr>
        <w:pStyle w:val="81"/>
        <w:keepNext/>
        <w:keepLines w:val="0"/>
        <w:pageBreakBefore w:val="0"/>
        <w:widowControl/>
        <w:numPr>
          <w:ilvl w:val="0"/>
          <w:numId w:val="0"/>
        </w:numPr>
        <w:kinsoku/>
        <w:wordWrap/>
        <w:overflowPunct/>
        <w:topLinePunct w:val="0"/>
        <w:autoSpaceDE/>
        <w:autoSpaceDN/>
        <w:bidi w:val="0"/>
        <w:adjustRightInd/>
        <w:snapToGrid/>
        <w:spacing w:before="400" w:after="160"/>
        <w:ind w:leftChars="0"/>
        <w:jc w:val="center"/>
        <w:textAlignment w:val="auto"/>
        <w:rPr>
          <w:rFonts w:hint="eastAsia"/>
        </w:rPr>
      </w:pPr>
      <w:bookmarkStart w:id="79" w:name="_Toc27747"/>
      <w:r>
        <w:rPr>
          <w:rFonts w:hint="eastAsia"/>
        </w:rPr>
        <w:t>（资料性附录）</w:t>
      </w:r>
      <w:r>
        <w:br w:type="textWrapping"/>
      </w:r>
      <w:r>
        <w:rPr>
          <w:rFonts w:hint="eastAsia"/>
          <w:lang w:val="en-US" w:eastAsia="zh-CN"/>
        </w:rPr>
        <w:t>大樱桃不同树形适栽的品种</w:t>
      </w:r>
      <w:bookmarkEnd w:id="79"/>
    </w:p>
    <w:p>
      <w:pPr>
        <w:rPr>
          <w:rFonts w:hint="eastAsia"/>
          <w:lang w:val="en-US" w:eastAsia="zh-CN"/>
        </w:rPr>
      </w:pPr>
    </w:p>
    <w:p>
      <w:pPr>
        <w:rPr>
          <w:rFonts w:hint="eastAsia"/>
          <w:lang w:val="en-US" w:eastAsia="zh-CN"/>
        </w:rPr>
      </w:pPr>
    </w:p>
    <w:p>
      <w:pPr>
        <w:ind w:firstLine="1470" w:firstLineChars="700"/>
        <w:rPr>
          <w:rFonts w:hint="default"/>
          <w:lang w:val="en-US" w:eastAsia="zh-CN"/>
        </w:rPr>
      </w:pPr>
      <w:r>
        <w:rPr>
          <w:rFonts w:hint="eastAsia"/>
          <w:lang w:val="en-US" w:eastAsia="zh-CN"/>
        </w:rPr>
        <w:t>自然开心邢适栽品种： 红灯，美早、先锋、萨米脱等</w:t>
      </w:r>
    </w:p>
    <w:p>
      <w:pPr>
        <w:rPr>
          <w:rFonts w:hint="default"/>
          <w:lang w:val="en-US" w:eastAsia="zh-CN"/>
        </w:rPr>
      </w:pPr>
    </w:p>
    <w:p>
      <w:pPr>
        <w:ind w:firstLine="1470" w:firstLineChars="700"/>
        <w:rPr>
          <w:rFonts w:hint="default"/>
          <w:lang w:val="en-US" w:eastAsia="zh-CN"/>
        </w:rPr>
      </w:pPr>
      <w:r>
        <w:rPr>
          <w:rFonts w:hint="eastAsia"/>
          <w:lang w:val="en-US" w:eastAsia="zh-CN"/>
        </w:rPr>
        <w:t>改良主干形适栽品种： 红灯、美早，布鲁克斯、拉宾斯等</w:t>
      </w:r>
    </w:p>
    <w:p>
      <w:pPr>
        <w:rPr>
          <w:rFonts w:hint="default"/>
          <w:lang w:val="en-US" w:eastAsia="zh-CN"/>
        </w:rPr>
      </w:pPr>
    </w:p>
    <w:p>
      <w:pPr>
        <w:ind w:firstLine="1470" w:firstLineChars="700"/>
        <w:rPr>
          <w:rFonts w:hint="default"/>
          <w:lang w:val="en-US" w:eastAsia="zh-CN"/>
        </w:rPr>
      </w:pPr>
      <w:r>
        <w:rPr>
          <w:rFonts w:hint="eastAsia"/>
          <w:lang w:val="en-US" w:eastAsia="zh-CN"/>
        </w:rPr>
        <w:t>KGB树形适栽品种：  红灯、美早、拉宾斯等</w:t>
      </w:r>
    </w:p>
    <w:p>
      <w:pPr>
        <w:pStyle w:val="20"/>
      </w:pPr>
    </w:p>
    <w:p>
      <w:pPr>
        <w:pStyle w:val="20"/>
      </w:pPr>
    </w:p>
    <w:p>
      <w:pPr>
        <w:pStyle w:val="20"/>
      </w:pPr>
    </w:p>
    <w:p>
      <w:pPr>
        <w:pStyle w:val="20"/>
      </w:pPr>
    </w:p>
    <w:p>
      <w:pPr>
        <w:pStyle w:val="126"/>
        <w:framePr/>
      </w:pPr>
      <w:r>
        <w:t>_______________________________</w:t>
      </w:r>
    </w:p>
    <w:sectPr>
      <w:pgSz w:w="11906" w:h="16838"/>
      <w:pgMar w:top="567" w:right="1134" w:bottom="1134" w:left="1418" w:header="1418" w:footer="1134" w:gutter="0"/>
      <w:pgNumType w:start="1"/>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MS Mincho">
    <w:altName w:val="方正书宋_GBK"/>
    <w:panose1 w:val="02020609040205080304"/>
    <w:charset w:val="80"/>
    <w:family w:val="roman"/>
    <w:pitch w:val="default"/>
    <w:sig w:usb0="00000000" w:usb1="00000000" w:usb2="00000010" w:usb3="00000000" w:csb0="0002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文泉驿微米黑">
    <w:panose1 w:val="020B0606030804020204"/>
    <w:charset w:val="86"/>
    <w:family w:val="auto"/>
    <w:pitch w:val="default"/>
    <w:sig w:usb0="E10002EF" w:usb1="6BDFFCFB" w:usb2="00800036" w:usb3="00000000" w:csb0="603E019F" w:csb1="DFD7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r>
      <w:fldChar w:fldCharType="begin"/>
    </w:r>
    <w:r>
      <w:instrText xml:space="preserve"> PAGE  \* MERGEFORMAT </w:instrText>
    </w:r>
    <w:r>
      <w:fldChar w:fldCharType="separate"/>
    </w:r>
    <w:r>
      <w:t>II</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Pr>
    <w:r>
      <w:t>DB 14/T ××××—2013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55"/>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0">
      <w:start w:val="1"/>
      <w:numFmt w:val="decimal"/>
      <w:pStyle w:val="113"/>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AE367E9"/>
    <w:multiLevelType w:val="multilevel"/>
    <w:tmpl w:val="0AE367E9"/>
    <w:lvl w:ilvl="0" w:tentative="0">
      <w:start w:val="1"/>
      <w:numFmt w:val="none"/>
      <w:pStyle w:val="49"/>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
    <w:nsid w:val="0DDE2B46"/>
    <w:multiLevelType w:val="multilevel"/>
    <w:tmpl w:val="0DDE2B46"/>
    <w:lvl w:ilvl="0" w:tentative="0">
      <w:start w:val="1"/>
      <w:numFmt w:val="lowerLetter"/>
      <w:pStyle w:val="118"/>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4">
    <w:nsid w:val="1DBF583A"/>
    <w:multiLevelType w:val="multilevel"/>
    <w:tmpl w:val="1DBF583A"/>
    <w:lvl w:ilvl="0" w:tentative="0">
      <w:start w:val="1"/>
      <w:numFmt w:val="decimal"/>
      <w:pStyle w:val="62"/>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5">
    <w:nsid w:val="1FC91163"/>
    <w:multiLevelType w:val="multilevel"/>
    <w:tmpl w:val="1FC91163"/>
    <w:lvl w:ilvl="0" w:tentative="0">
      <w:start w:val="1"/>
      <w:numFmt w:val="decimal"/>
      <w:pStyle w:val="42"/>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9"/>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43"/>
      <w:suff w:val="nothing"/>
      <w:lvlText w:val="%1.%2.%3　"/>
      <w:lvlJc w:val="left"/>
      <w:pPr>
        <w:ind w:left="0" w:firstLine="0"/>
      </w:pPr>
      <w:rPr>
        <w:rFonts w:hint="eastAsia" w:ascii="黑体" w:hAnsi="Times New Roman" w:eastAsia="黑体"/>
        <w:b w:val="0"/>
        <w:i w:val="0"/>
        <w:sz w:val="21"/>
      </w:rPr>
    </w:lvl>
    <w:lvl w:ilvl="3" w:tentative="0">
      <w:start w:val="1"/>
      <w:numFmt w:val="decimal"/>
      <w:pStyle w:val="48"/>
      <w:suff w:val="nothing"/>
      <w:lvlText w:val="%1.%2.%3.%4　"/>
      <w:lvlJc w:val="left"/>
      <w:pPr>
        <w:ind w:left="0" w:firstLine="0"/>
      </w:pPr>
      <w:rPr>
        <w:rFonts w:hint="eastAsia" w:ascii="黑体" w:hAnsi="Times New Roman" w:eastAsia="黑体"/>
        <w:b w:val="0"/>
        <w:i w:val="0"/>
        <w:sz w:val="21"/>
      </w:rPr>
    </w:lvl>
    <w:lvl w:ilvl="4" w:tentative="0">
      <w:start w:val="1"/>
      <w:numFmt w:val="decimal"/>
      <w:pStyle w:val="52"/>
      <w:suff w:val="nothing"/>
      <w:lvlText w:val="%1.%2.%3.%4.%5　"/>
      <w:lvlJc w:val="left"/>
      <w:pPr>
        <w:ind w:left="0" w:firstLine="0"/>
      </w:pPr>
      <w:rPr>
        <w:rFonts w:hint="eastAsia" w:ascii="黑体" w:hAnsi="Times New Roman" w:eastAsia="黑体"/>
        <w:b w:val="0"/>
        <w:i w:val="0"/>
        <w:sz w:val="21"/>
      </w:rPr>
    </w:lvl>
    <w:lvl w:ilvl="5" w:tentative="0">
      <w:start w:val="1"/>
      <w:numFmt w:val="decimal"/>
      <w:pStyle w:val="53"/>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2A8F7113"/>
    <w:multiLevelType w:val="multilevel"/>
    <w:tmpl w:val="2A8F7113"/>
    <w:lvl w:ilvl="0" w:tentative="0">
      <w:start w:val="1"/>
      <w:numFmt w:val="upperLetter"/>
      <w:pStyle w:val="95"/>
      <w:suff w:val="space"/>
      <w:lvlText w:val="%1"/>
      <w:lvlJc w:val="left"/>
      <w:pPr>
        <w:ind w:left="623" w:hanging="425"/>
      </w:pPr>
      <w:rPr>
        <w:rFonts w:hint="eastAsia"/>
      </w:rPr>
    </w:lvl>
    <w:lvl w:ilvl="1" w:tentative="0">
      <w:start w:val="1"/>
      <w:numFmt w:val="decimal"/>
      <w:pStyle w:val="96"/>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7">
    <w:nsid w:val="2C5917C3"/>
    <w:multiLevelType w:val="multilevel"/>
    <w:tmpl w:val="2C5917C3"/>
    <w:lvl w:ilvl="0" w:tentative="0">
      <w:start w:val="1"/>
      <w:numFmt w:val="none"/>
      <w:pStyle w:val="45"/>
      <w:suff w:val="nothing"/>
      <w:lvlText w:val="%1——"/>
      <w:lvlJc w:val="left"/>
      <w:pPr>
        <w:ind w:left="833" w:hanging="408"/>
      </w:pPr>
      <w:rPr>
        <w:rFonts w:hint="eastAsia"/>
      </w:rPr>
    </w:lvl>
    <w:lvl w:ilvl="1" w:tentative="0">
      <w:start w:val="1"/>
      <w:numFmt w:val="bullet"/>
      <w:pStyle w:val="46"/>
      <w:lvlText w:val=""/>
      <w:lvlJc w:val="left"/>
      <w:pPr>
        <w:tabs>
          <w:tab w:val="left" w:pos="760"/>
        </w:tabs>
        <w:ind w:left="1264" w:hanging="413"/>
      </w:pPr>
      <w:rPr>
        <w:rFonts w:hint="default" w:ascii="Symbol" w:hAnsi="Symbol"/>
        <w:color w:val="auto"/>
      </w:rPr>
    </w:lvl>
    <w:lvl w:ilvl="2" w:tentative="0">
      <w:start w:val="1"/>
      <w:numFmt w:val="bullet"/>
      <w:pStyle w:val="57"/>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8">
    <w:nsid w:val="3D733618"/>
    <w:multiLevelType w:val="multilevel"/>
    <w:tmpl w:val="3D733618"/>
    <w:lvl w:ilvl="0" w:tentative="0">
      <w:start w:val="1"/>
      <w:numFmt w:val="decimal"/>
      <w:pStyle w:val="21"/>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9">
    <w:nsid w:val="44C50F90"/>
    <w:multiLevelType w:val="multilevel"/>
    <w:tmpl w:val="44C50F90"/>
    <w:lvl w:ilvl="0" w:tentative="0">
      <w:start w:val="1"/>
      <w:numFmt w:val="lowerLetter"/>
      <w:pStyle w:val="56"/>
      <w:lvlText w:val="%1)"/>
      <w:lvlJc w:val="left"/>
      <w:pPr>
        <w:tabs>
          <w:tab w:val="left" w:pos="840"/>
        </w:tabs>
        <w:ind w:left="839" w:hanging="419"/>
      </w:pPr>
      <w:rPr>
        <w:rFonts w:hint="eastAsia" w:ascii="宋体" w:eastAsia="宋体"/>
        <w:b w:val="0"/>
        <w:i w:val="0"/>
        <w:sz w:val="21"/>
        <w:szCs w:val="21"/>
      </w:rPr>
    </w:lvl>
    <w:lvl w:ilvl="1" w:tentative="0">
      <w:start w:val="1"/>
      <w:numFmt w:val="decimal"/>
      <w:pStyle w:val="51"/>
      <w:lvlText w:val="%2)"/>
      <w:lvlJc w:val="left"/>
      <w:pPr>
        <w:tabs>
          <w:tab w:val="left" w:pos="1260"/>
        </w:tabs>
        <w:ind w:left="1259" w:hanging="419"/>
      </w:pPr>
      <w:rPr>
        <w:rFonts w:hint="eastAsia"/>
      </w:rPr>
    </w:lvl>
    <w:lvl w:ilvl="2" w:tentative="0">
      <w:start w:val="1"/>
      <w:numFmt w:val="decimal"/>
      <w:pStyle w:val="58"/>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0">
    <w:nsid w:val="4B733A5F"/>
    <w:multiLevelType w:val="multilevel"/>
    <w:tmpl w:val="4B733A5F"/>
    <w:lvl w:ilvl="0" w:tentative="0">
      <w:start w:val="1"/>
      <w:numFmt w:val="decimal"/>
      <w:pStyle w:val="59"/>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1">
    <w:nsid w:val="557C2AF5"/>
    <w:multiLevelType w:val="multilevel"/>
    <w:tmpl w:val="557C2AF5"/>
    <w:lvl w:ilvl="0" w:tentative="0">
      <w:start w:val="1"/>
      <w:numFmt w:val="decimal"/>
      <w:pStyle w:val="125"/>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60B55DC2"/>
    <w:multiLevelType w:val="multilevel"/>
    <w:tmpl w:val="60B55DC2"/>
    <w:lvl w:ilvl="0" w:tentative="0">
      <w:start w:val="1"/>
      <w:numFmt w:val="upperLetter"/>
      <w:pStyle w:val="83"/>
      <w:lvlText w:val="%1"/>
      <w:lvlJc w:val="left"/>
      <w:pPr>
        <w:tabs>
          <w:tab w:val="left" w:pos="0"/>
        </w:tabs>
        <w:ind w:left="0" w:hanging="425"/>
      </w:pPr>
      <w:rPr>
        <w:rFonts w:hint="eastAsia"/>
      </w:rPr>
    </w:lvl>
    <w:lvl w:ilvl="1" w:tentative="0">
      <w:start w:val="1"/>
      <w:numFmt w:val="decimal"/>
      <w:pStyle w:val="84"/>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3">
    <w:nsid w:val="646260FA"/>
    <w:multiLevelType w:val="multilevel"/>
    <w:tmpl w:val="646260FA"/>
    <w:lvl w:ilvl="0" w:tentative="0">
      <w:start w:val="1"/>
      <w:numFmt w:val="decimal"/>
      <w:pStyle w:val="123"/>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4">
    <w:nsid w:val="657D3FBC"/>
    <w:multiLevelType w:val="multilevel"/>
    <w:tmpl w:val="657D3FBC"/>
    <w:lvl w:ilvl="0" w:tentative="0">
      <w:start w:val="1"/>
      <w:numFmt w:val="upperLetter"/>
      <w:pStyle w:val="81"/>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99"/>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00"/>
      <w:suff w:val="nothing"/>
      <w:lvlText w:val="%1.%2.%3　"/>
      <w:lvlJc w:val="left"/>
      <w:pPr>
        <w:ind w:left="0" w:firstLine="0"/>
      </w:pPr>
      <w:rPr>
        <w:rFonts w:hint="eastAsia" w:ascii="黑体" w:hAnsi="Times New Roman" w:eastAsia="黑体"/>
        <w:b w:val="0"/>
        <w:i w:val="0"/>
        <w:sz w:val="21"/>
      </w:rPr>
    </w:lvl>
    <w:lvl w:ilvl="3" w:tentative="0">
      <w:start w:val="1"/>
      <w:numFmt w:val="decimal"/>
      <w:pStyle w:val="85"/>
      <w:suff w:val="nothing"/>
      <w:lvlText w:val="%1.%2.%3.%4　"/>
      <w:lvlJc w:val="left"/>
      <w:pPr>
        <w:ind w:left="0" w:firstLine="0"/>
      </w:pPr>
      <w:rPr>
        <w:rFonts w:hint="eastAsia" w:ascii="黑体" w:hAnsi="Times New Roman" w:eastAsia="黑体"/>
        <w:b w:val="0"/>
        <w:i w:val="0"/>
        <w:sz w:val="21"/>
      </w:rPr>
    </w:lvl>
    <w:lvl w:ilvl="4" w:tentative="0">
      <w:start w:val="1"/>
      <w:numFmt w:val="decimal"/>
      <w:pStyle w:val="90"/>
      <w:suff w:val="nothing"/>
      <w:lvlText w:val="%1.%2.%3.%4.%5　"/>
      <w:lvlJc w:val="left"/>
      <w:pPr>
        <w:ind w:left="0" w:firstLine="0"/>
      </w:pPr>
      <w:rPr>
        <w:rFonts w:hint="eastAsia" w:ascii="黑体" w:hAnsi="Times New Roman" w:eastAsia="黑体"/>
        <w:b w:val="0"/>
        <w:i w:val="0"/>
        <w:sz w:val="21"/>
      </w:rPr>
    </w:lvl>
    <w:lvl w:ilvl="5" w:tentative="0">
      <w:start w:val="1"/>
      <w:numFmt w:val="decimal"/>
      <w:pStyle w:val="93"/>
      <w:suff w:val="nothing"/>
      <w:lvlText w:val="%1.%2.%3.%4.%5.%6　"/>
      <w:lvlJc w:val="left"/>
      <w:pPr>
        <w:ind w:left="0" w:firstLine="0"/>
      </w:pPr>
      <w:rPr>
        <w:rFonts w:hint="eastAsia" w:ascii="黑体" w:hAnsi="Times New Roman" w:eastAsia="黑体"/>
        <w:b w:val="0"/>
        <w:i w:val="0"/>
        <w:sz w:val="21"/>
      </w:rPr>
    </w:lvl>
    <w:lvl w:ilvl="6" w:tentative="0">
      <w:start w:val="1"/>
      <w:numFmt w:val="decimal"/>
      <w:pStyle w:val="97"/>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6D6C07CD"/>
    <w:multiLevelType w:val="multilevel"/>
    <w:tmpl w:val="6D6C07CD"/>
    <w:lvl w:ilvl="0" w:tentative="0">
      <w:start w:val="1"/>
      <w:numFmt w:val="lowerLetter"/>
      <w:pStyle w:val="102"/>
      <w:lvlText w:val="%1)"/>
      <w:lvlJc w:val="left"/>
      <w:pPr>
        <w:tabs>
          <w:tab w:val="left" w:pos="839"/>
        </w:tabs>
        <w:ind w:left="839" w:hanging="419"/>
      </w:pPr>
      <w:rPr>
        <w:rFonts w:hint="eastAsia" w:ascii="宋体" w:eastAsia="宋体"/>
        <w:b w:val="0"/>
        <w:i w:val="0"/>
        <w:sz w:val="21"/>
      </w:rPr>
    </w:lvl>
    <w:lvl w:ilvl="1" w:tentative="0">
      <w:start w:val="1"/>
      <w:numFmt w:val="decimal"/>
      <w:pStyle w:val="92"/>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6">
    <w:nsid w:val="6DBF04F4"/>
    <w:multiLevelType w:val="multilevel"/>
    <w:tmpl w:val="6DBF04F4"/>
    <w:lvl w:ilvl="0" w:tentative="0">
      <w:start w:val="1"/>
      <w:numFmt w:val="none"/>
      <w:pStyle w:val="54"/>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8"/>
  </w:num>
  <w:num w:numId="2">
    <w:abstractNumId w:val="5"/>
  </w:num>
  <w:num w:numId="3">
    <w:abstractNumId w:val="7"/>
  </w:num>
  <w:num w:numId="4">
    <w:abstractNumId w:val="2"/>
  </w:num>
  <w:num w:numId="5">
    <w:abstractNumId w:val="9"/>
  </w:num>
  <w:num w:numId="6">
    <w:abstractNumId w:val="16"/>
  </w:num>
  <w:num w:numId="7">
    <w:abstractNumId w:val="0"/>
  </w:num>
  <w:num w:numId="8">
    <w:abstractNumId w:val="10"/>
  </w:num>
  <w:num w:numId="9">
    <w:abstractNumId w:val="4"/>
  </w:num>
  <w:num w:numId="10">
    <w:abstractNumId w:val="14"/>
  </w:num>
  <w:num w:numId="11">
    <w:abstractNumId w:val="12"/>
  </w:num>
  <w:num w:numId="12">
    <w:abstractNumId w:val="15"/>
  </w:num>
  <w:num w:numId="13">
    <w:abstractNumId w:val="6"/>
  </w:num>
  <w:num w:numId="14">
    <w:abstractNumId w:val="1"/>
  </w:num>
  <w:num w:numId="15">
    <w:abstractNumId w:val="3"/>
  </w:num>
  <w:num w:numId="16">
    <w:abstractNumId w:val="1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false"/>
  <w:bordersDoNotSurroundFooter w:val="false"/>
  <w:attachedTemplate r:id="rId1"/>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GYyZmZjMjE3MDc4ZTZmNTg0NDA2OWM5ZWY0MjcwNGMifQ=="/>
  </w:docVars>
  <w:rsids>
    <w:rsidRoot w:val="128F3083"/>
    <w:rsid w:val="00000244"/>
    <w:rsid w:val="0000185F"/>
    <w:rsid w:val="0000586F"/>
    <w:rsid w:val="00013D86"/>
    <w:rsid w:val="00013E02"/>
    <w:rsid w:val="0002143C"/>
    <w:rsid w:val="00025A65"/>
    <w:rsid w:val="00026C31"/>
    <w:rsid w:val="00027280"/>
    <w:rsid w:val="000320A7"/>
    <w:rsid w:val="000325EA"/>
    <w:rsid w:val="00035925"/>
    <w:rsid w:val="00055371"/>
    <w:rsid w:val="000607A3"/>
    <w:rsid w:val="00065150"/>
    <w:rsid w:val="000657F7"/>
    <w:rsid w:val="00067CDF"/>
    <w:rsid w:val="0007316A"/>
    <w:rsid w:val="00074FBE"/>
    <w:rsid w:val="00083A09"/>
    <w:rsid w:val="0009005E"/>
    <w:rsid w:val="00092001"/>
    <w:rsid w:val="00092857"/>
    <w:rsid w:val="000979D9"/>
    <w:rsid w:val="000A1520"/>
    <w:rsid w:val="000A20A9"/>
    <w:rsid w:val="000A48B1"/>
    <w:rsid w:val="000B1979"/>
    <w:rsid w:val="000B3143"/>
    <w:rsid w:val="000B405D"/>
    <w:rsid w:val="000C6B05"/>
    <w:rsid w:val="000C6DD6"/>
    <w:rsid w:val="000C73D4"/>
    <w:rsid w:val="000D3D4C"/>
    <w:rsid w:val="000D4F51"/>
    <w:rsid w:val="000D718B"/>
    <w:rsid w:val="000E0C46"/>
    <w:rsid w:val="000E15EE"/>
    <w:rsid w:val="000F030C"/>
    <w:rsid w:val="000F129C"/>
    <w:rsid w:val="000F38A1"/>
    <w:rsid w:val="000F6938"/>
    <w:rsid w:val="001056DE"/>
    <w:rsid w:val="001059DE"/>
    <w:rsid w:val="001124C0"/>
    <w:rsid w:val="00122AE0"/>
    <w:rsid w:val="0013175F"/>
    <w:rsid w:val="0013364D"/>
    <w:rsid w:val="001343BB"/>
    <w:rsid w:val="00147EE8"/>
    <w:rsid w:val="001512B4"/>
    <w:rsid w:val="001620A5"/>
    <w:rsid w:val="00164E53"/>
    <w:rsid w:val="0016699D"/>
    <w:rsid w:val="00175159"/>
    <w:rsid w:val="00176208"/>
    <w:rsid w:val="0017780C"/>
    <w:rsid w:val="0018211B"/>
    <w:rsid w:val="001840D3"/>
    <w:rsid w:val="001900F8"/>
    <w:rsid w:val="00191258"/>
    <w:rsid w:val="00192680"/>
    <w:rsid w:val="00193037"/>
    <w:rsid w:val="00193A2C"/>
    <w:rsid w:val="001A288E"/>
    <w:rsid w:val="001B6DC2"/>
    <w:rsid w:val="001C149C"/>
    <w:rsid w:val="001C21AC"/>
    <w:rsid w:val="001C3689"/>
    <w:rsid w:val="001C47BA"/>
    <w:rsid w:val="001C4B00"/>
    <w:rsid w:val="001C59EA"/>
    <w:rsid w:val="001D406C"/>
    <w:rsid w:val="001D41EE"/>
    <w:rsid w:val="001D4BEB"/>
    <w:rsid w:val="001E0380"/>
    <w:rsid w:val="001E13B1"/>
    <w:rsid w:val="001F3A19"/>
    <w:rsid w:val="002009E4"/>
    <w:rsid w:val="00201053"/>
    <w:rsid w:val="0020251B"/>
    <w:rsid w:val="0022185E"/>
    <w:rsid w:val="002259EF"/>
    <w:rsid w:val="00234467"/>
    <w:rsid w:val="00237D8D"/>
    <w:rsid w:val="00241DA2"/>
    <w:rsid w:val="00243AD0"/>
    <w:rsid w:val="00247FEE"/>
    <w:rsid w:val="00250E7D"/>
    <w:rsid w:val="00252113"/>
    <w:rsid w:val="002527DD"/>
    <w:rsid w:val="002565D5"/>
    <w:rsid w:val="002622C0"/>
    <w:rsid w:val="002778AE"/>
    <w:rsid w:val="0028269A"/>
    <w:rsid w:val="00283590"/>
    <w:rsid w:val="00286973"/>
    <w:rsid w:val="00294E70"/>
    <w:rsid w:val="002954B8"/>
    <w:rsid w:val="002A1924"/>
    <w:rsid w:val="002A7420"/>
    <w:rsid w:val="002A7A7E"/>
    <w:rsid w:val="002B0F12"/>
    <w:rsid w:val="002B1308"/>
    <w:rsid w:val="002B4554"/>
    <w:rsid w:val="002B707C"/>
    <w:rsid w:val="002C72D8"/>
    <w:rsid w:val="002D11FA"/>
    <w:rsid w:val="002D19A4"/>
    <w:rsid w:val="002E0DDF"/>
    <w:rsid w:val="002E2906"/>
    <w:rsid w:val="002E5635"/>
    <w:rsid w:val="002E64C3"/>
    <w:rsid w:val="002E6A2C"/>
    <w:rsid w:val="002E7BEF"/>
    <w:rsid w:val="002F035E"/>
    <w:rsid w:val="002F0FE8"/>
    <w:rsid w:val="002F1021"/>
    <w:rsid w:val="002F1D8C"/>
    <w:rsid w:val="002F21DA"/>
    <w:rsid w:val="00301F39"/>
    <w:rsid w:val="00303D27"/>
    <w:rsid w:val="00325926"/>
    <w:rsid w:val="00327A8A"/>
    <w:rsid w:val="003339A3"/>
    <w:rsid w:val="00336610"/>
    <w:rsid w:val="00343F73"/>
    <w:rsid w:val="00345060"/>
    <w:rsid w:val="003451FB"/>
    <w:rsid w:val="00352629"/>
    <w:rsid w:val="0035323B"/>
    <w:rsid w:val="00353D19"/>
    <w:rsid w:val="003609D2"/>
    <w:rsid w:val="00363F22"/>
    <w:rsid w:val="00375564"/>
    <w:rsid w:val="003821FE"/>
    <w:rsid w:val="00383191"/>
    <w:rsid w:val="00386DED"/>
    <w:rsid w:val="003912E7"/>
    <w:rsid w:val="00393947"/>
    <w:rsid w:val="00395141"/>
    <w:rsid w:val="0039762E"/>
    <w:rsid w:val="003A2275"/>
    <w:rsid w:val="003A6A4F"/>
    <w:rsid w:val="003A7088"/>
    <w:rsid w:val="003A7685"/>
    <w:rsid w:val="003B00DF"/>
    <w:rsid w:val="003B1275"/>
    <w:rsid w:val="003B1778"/>
    <w:rsid w:val="003C11CB"/>
    <w:rsid w:val="003C3017"/>
    <w:rsid w:val="003C32AC"/>
    <w:rsid w:val="003C75F3"/>
    <w:rsid w:val="003C78A3"/>
    <w:rsid w:val="003E1867"/>
    <w:rsid w:val="003E5729"/>
    <w:rsid w:val="003F22BB"/>
    <w:rsid w:val="003F4EE0"/>
    <w:rsid w:val="00402153"/>
    <w:rsid w:val="00402FC1"/>
    <w:rsid w:val="00425082"/>
    <w:rsid w:val="00431DEB"/>
    <w:rsid w:val="00446B29"/>
    <w:rsid w:val="00453F9A"/>
    <w:rsid w:val="00464903"/>
    <w:rsid w:val="00471E91"/>
    <w:rsid w:val="00474079"/>
    <w:rsid w:val="00474675"/>
    <w:rsid w:val="0047470C"/>
    <w:rsid w:val="004A203E"/>
    <w:rsid w:val="004A35F9"/>
    <w:rsid w:val="004B24C1"/>
    <w:rsid w:val="004B3092"/>
    <w:rsid w:val="004B313F"/>
    <w:rsid w:val="004B49B1"/>
    <w:rsid w:val="004C1F47"/>
    <w:rsid w:val="004C292F"/>
    <w:rsid w:val="004D306F"/>
    <w:rsid w:val="004E5A47"/>
    <w:rsid w:val="00510280"/>
    <w:rsid w:val="00511D33"/>
    <w:rsid w:val="00513D73"/>
    <w:rsid w:val="00514A43"/>
    <w:rsid w:val="005174E5"/>
    <w:rsid w:val="00520898"/>
    <w:rsid w:val="00522393"/>
    <w:rsid w:val="00522620"/>
    <w:rsid w:val="00525656"/>
    <w:rsid w:val="00525BF3"/>
    <w:rsid w:val="00534C02"/>
    <w:rsid w:val="0054044C"/>
    <w:rsid w:val="0054264B"/>
    <w:rsid w:val="00543786"/>
    <w:rsid w:val="00546D0D"/>
    <w:rsid w:val="0055153A"/>
    <w:rsid w:val="005533D7"/>
    <w:rsid w:val="00554B63"/>
    <w:rsid w:val="0056544B"/>
    <w:rsid w:val="005703DE"/>
    <w:rsid w:val="00582BBE"/>
    <w:rsid w:val="0058464E"/>
    <w:rsid w:val="005A01CB"/>
    <w:rsid w:val="005A58FF"/>
    <w:rsid w:val="005A5EAF"/>
    <w:rsid w:val="005A64C0"/>
    <w:rsid w:val="005B3C11"/>
    <w:rsid w:val="005C1C28"/>
    <w:rsid w:val="005C1C81"/>
    <w:rsid w:val="005C6DB5"/>
    <w:rsid w:val="005D3D74"/>
    <w:rsid w:val="005E19E7"/>
    <w:rsid w:val="00601622"/>
    <w:rsid w:val="00613FAA"/>
    <w:rsid w:val="00615DE3"/>
    <w:rsid w:val="0061716C"/>
    <w:rsid w:val="00617868"/>
    <w:rsid w:val="006243A1"/>
    <w:rsid w:val="00632E56"/>
    <w:rsid w:val="00635CBA"/>
    <w:rsid w:val="0064338B"/>
    <w:rsid w:val="00646542"/>
    <w:rsid w:val="006504F4"/>
    <w:rsid w:val="0065366F"/>
    <w:rsid w:val="00654BC9"/>
    <w:rsid w:val="006552FD"/>
    <w:rsid w:val="00656F0B"/>
    <w:rsid w:val="00663733"/>
    <w:rsid w:val="00663AF3"/>
    <w:rsid w:val="00666B6C"/>
    <w:rsid w:val="0067317C"/>
    <w:rsid w:val="00682682"/>
    <w:rsid w:val="00682702"/>
    <w:rsid w:val="00692368"/>
    <w:rsid w:val="006A0D5D"/>
    <w:rsid w:val="006A2EBC"/>
    <w:rsid w:val="006A5EA0"/>
    <w:rsid w:val="006A783B"/>
    <w:rsid w:val="006A7B33"/>
    <w:rsid w:val="006B4E13"/>
    <w:rsid w:val="006B75DD"/>
    <w:rsid w:val="006C67E0"/>
    <w:rsid w:val="006C7ABA"/>
    <w:rsid w:val="006D0A13"/>
    <w:rsid w:val="006D0D60"/>
    <w:rsid w:val="006D1122"/>
    <w:rsid w:val="006D317E"/>
    <w:rsid w:val="006D3B1E"/>
    <w:rsid w:val="006D3C00"/>
    <w:rsid w:val="006E0068"/>
    <w:rsid w:val="006E1DF9"/>
    <w:rsid w:val="006E3675"/>
    <w:rsid w:val="006E4A7F"/>
    <w:rsid w:val="00704DF6"/>
    <w:rsid w:val="0070651C"/>
    <w:rsid w:val="007132A3"/>
    <w:rsid w:val="00716421"/>
    <w:rsid w:val="00721419"/>
    <w:rsid w:val="00724EFB"/>
    <w:rsid w:val="00730310"/>
    <w:rsid w:val="007419C3"/>
    <w:rsid w:val="007467A7"/>
    <w:rsid w:val="007469DD"/>
    <w:rsid w:val="0074741B"/>
    <w:rsid w:val="0074759E"/>
    <w:rsid w:val="007478EA"/>
    <w:rsid w:val="0075415C"/>
    <w:rsid w:val="00757097"/>
    <w:rsid w:val="00763502"/>
    <w:rsid w:val="007913AB"/>
    <w:rsid w:val="007914F7"/>
    <w:rsid w:val="007A7D48"/>
    <w:rsid w:val="007B1625"/>
    <w:rsid w:val="007B706E"/>
    <w:rsid w:val="007B71EB"/>
    <w:rsid w:val="007C4D35"/>
    <w:rsid w:val="007C6205"/>
    <w:rsid w:val="007C686A"/>
    <w:rsid w:val="007C728E"/>
    <w:rsid w:val="007D2C53"/>
    <w:rsid w:val="007D3D60"/>
    <w:rsid w:val="007E1980"/>
    <w:rsid w:val="007E4B76"/>
    <w:rsid w:val="007E5EA8"/>
    <w:rsid w:val="007F0CF1"/>
    <w:rsid w:val="007F12A5"/>
    <w:rsid w:val="007F2D74"/>
    <w:rsid w:val="007F3FB7"/>
    <w:rsid w:val="007F4CF1"/>
    <w:rsid w:val="007F758D"/>
    <w:rsid w:val="007F7D52"/>
    <w:rsid w:val="0080484A"/>
    <w:rsid w:val="00805589"/>
    <w:rsid w:val="0080654C"/>
    <w:rsid w:val="008071C6"/>
    <w:rsid w:val="00817A00"/>
    <w:rsid w:val="00820B95"/>
    <w:rsid w:val="00831631"/>
    <w:rsid w:val="00835DB3"/>
    <w:rsid w:val="0083617B"/>
    <w:rsid w:val="00836342"/>
    <w:rsid w:val="00836A2D"/>
    <w:rsid w:val="008371BD"/>
    <w:rsid w:val="00837E88"/>
    <w:rsid w:val="00847987"/>
    <w:rsid w:val="008504A8"/>
    <w:rsid w:val="008517A3"/>
    <w:rsid w:val="00851B58"/>
    <w:rsid w:val="0085282E"/>
    <w:rsid w:val="00861530"/>
    <w:rsid w:val="0087198C"/>
    <w:rsid w:val="00872C1F"/>
    <w:rsid w:val="00873B42"/>
    <w:rsid w:val="00880D1A"/>
    <w:rsid w:val="008856D8"/>
    <w:rsid w:val="00886A8E"/>
    <w:rsid w:val="008926EA"/>
    <w:rsid w:val="00892E82"/>
    <w:rsid w:val="00893277"/>
    <w:rsid w:val="008965D1"/>
    <w:rsid w:val="008A1035"/>
    <w:rsid w:val="008A6A42"/>
    <w:rsid w:val="008A6E08"/>
    <w:rsid w:val="008C1B58"/>
    <w:rsid w:val="008C39AE"/>
    <w:rsid w:val="008C40DF"/>
    <w:rsid w:val="008C590D"/>
    <w:rsid w:val="008D7566"/>
    <w:rsid w:val="008E031B"/>
    <w:rsid w:val="008E7029"/>
    <w:rsid w:val="008E7EF6"/>
    <w:rsid w:val="008F1F98"/>
    <w:rsid w:val="008F2790"/>
    <w:rsid w:val="008F6758"/>
    <w:rsid w:val="009040DD"/>
    <w:rsid w:val="00905B47"/>
    <w:rsid w:val="00911391"/>
    <w:rsid w:val="0091331C"/>
    <w:rsid w:val="009137BD"/>
    <w:rsid w:val="009279DE"/>
    <w:rsid w:val="00930116"/>
    <w:rsid w:val="0094212C"/>
    <w:rsid w:val="0095378C"/>
    <w:rsid w:val="00954689"/>
    <w:rsid w:val="009617C9"/>
    <w:rsid w:val="00961C93"/>
    <w:rsid w:val="00965324"/>
    <w:rsid w:val="0097091E"/>
    <w:rsid w:val="009760D3"/>
    <w:rsid w:val="00977132"/>
    <w:rsid w:val="00981A4B"/>
    <w:rsid w:val="00982250"/>
    <w:rsid w:val="00982501"/>
    <w:rsid w:val="009877D3"/>
    <w:rsid w:val="00994E8F"/>
    <w:rsid w:val="009951DC"/>
    <w:rsid w:val="009959BB"/>
    <w:rsid w:val="00997158"/>
    <w:rsid w:val="009A3A7C"/>
    <w:rsid w:val="009A5D33"/>
    <w:rsid w:val="009B2323"/>
    <w:rsid w:val="009B2ADB"/>
    <w:rsid w:val="009B603A"/>
    <w:rsid w:val="009C2D0E"/>
    <w:rsid w:val="009C3DAC"/>
    <w:rsid w:val="009C42E0"/>
    <w:rsid w:val="009D26D8"/>
    <w:rsid w:val="009D5362"/>
    <w:rsid w:val="009E1415"/>
    <w:rsid w:val="009E1A52"/>
    <w:rsid w:val="009E6116"/>
    <w:rsid w:val="009E7E25"/>
    <w:rsid w:val="00A02E43"/>
    <w:rsid w:val="00A049E9"/>
    <w:rsid w:val="00A05368"/>
    <w:rsid w:val="00A065F9"/>
    <w:rsid w:val="00A07011"/>
    <w:rsid w:val="00A07F34"/>
    <w:rsid w:val="00A16F2F"/>
    <w:rsid w:val="00A22154"/>
    <w:rsid w:val="00A24058"/>
    <w:rsid w:val="00A25C38"/>
    <w:rsid w:val="00A34F42"/>
    <w:rsid w:val="00A36BBE"/>
    <w:rsid w:val="00A37C20"/>
    <w:rsid w:val="00A40D9E"/>
    <w:rsid w:val="00A42ECA"/>
    <w:rsid w:val="00A4307A"/>
    <w:rsid w:val="00A47EBB"/>
    <w:rsid w:val="00A5013F"/>
    <w:rsid w:val="00A51CDD"/>
    <w:rsid w:val="00A56426"/>
    <w:rsid w:val="00A56BBA"/>
    <w:rsid w:val="00A6730D"/>
    <w:rsid w:val="00A71625"/>
    <w:rsid w:val="00A71B9B"/>
    <w:rsid w:val="00A751C7"/>
    <w:rsid w:val="00A751D7"/>
    <w:rsid w:val="00A87844"/>
    <w:rsid w:val="00AA038C"/>
    <w:rsid w:val="00AA7A09"/>
    <w:rsid w:val="00AB10F8"/>
    <w:rsid w:val="00AB3B50"/>
    <w:rsid w:val="00AC05B1"/>
    <w:rsid w:val="00AC757D"/>
    <w:rsid w:val="00AD356C"/>
    <w:rsid w:val="00AE2914"/>
    <w:rsid w:val="00AE6D15"/>
    <w:rsid w:val="00AE78AA"/>
    <w:rsid w:val="00AF1F49"/>
    <w:rsid w:val="00B04182"/>
    <w:rsid w:val="00B05ECF"/>
    <w:rsid w:val="00B07AE3"/>
    <w:rsid w:val="00B11430"/>
    <w:rsid w:val="00B242F4"/>
    <w:rsid w:val="00B24D1C"/>
    <w:rsid w:val="00B30481"/>
    <w:rsid w:val="00B353EB"/>
    <w:rsid w:val="00B4016F"/>
    <w:rsid w:val="00B407AC"/>
    <w:rsid w:val="00B439C4"/>
    <w:rsid w:val="00B4535E"/>
    <w:rsid w:val="00B52A8C"/>
    <w:rsid w:val="00B54707"/>
    <w:rsid w:val="00B62F11"/>
    <w:rsid w:val="00B636A8"/>
    <w:rsid w:val="00B665C6"/>
    <w:rsid w:val="00B758A5"/>
    <w:rsid w:val="00B805AF"/>
    <w:rsid w:val="00B869EC"/>
    <w:rsid w:val="00B91ED5"/>
    <w:rsid w:val="00B9397A"/>
    <w:rsid w:val="00B9633D"/>
    <w:rsid w:val="00BA2EBE"/>
    <w:rsid w:val="00BB0F28"/>
    <w:rsid w:val="00BB314A"/>
    <w:rsid w:val="00BB458A"/>
    <w:rsid w:val="00BD00D3"/>
    <w:rsid w:val="00BD1659"/>
    <w:rsid w:val="00BD3AA9"/>
    <w:rsid w:val="00BD4A18"/>
    <w:rsid w:val="00BD6DB2"/>
    <w:rsid w:val="00BD73A1"/>
    <w:rsid w:val="00BE11CF"/>
    <w:rsid w:val="00BE21AB"/>
    <w:rsid w:val="00BE55CB"/>
    <w:rsid w:val="00BE7067"/>
    <w:rsid w:val="00BF617A"/>
    <w:rsid w:val="00C0379D"/>
    <w:rsid w:val="00C03931"/>
    <w:rsid w:val="00C05FE3"/>
    <w:rsid w:val="00C06AE2"/>
    <w:rsid w:val="00C2136D"/>
    <w:rsid w:val="00C214EE"/>
    <w:rsid w:val="00C2314B"/>
    <w:rsid w:val="00C23347"/>
    <w:rsid w:val="00C24971"/>
    <w:rsid w:val="00C25355"/>
    <w:rsid w:val="00C26BE5"/>
    <w:rsid w:val="00C26E4D"/>
    <w:rsid w:val="00C27909"/>
    <w:rsid w:val="00C27B03"/>
    <w:rsid w:val="00C314E1"/>
    <w:rsid w:val="00C34397"/>
    <w:rsid w:val="00C40503"/>
    <w:rsid w:val="00C4095D"/>
    <w:rsid w:val="00C449FF"/>
    <w:rsid w:val="00C601D2"/>
    <w:rsid w:val="00C65BCC"/>
    <w:rsid w:val="00C66970"/>
    <w:rsid w:val="00C8691C"/>
    <w:rsid w:val="00CA168A"/>
    <w:rsid w:val="00CA2097"/>
    <w:rsid w:val="00CA357E"/>
    <w:rsid w:val="00CA44F9"/>
    <w:rsid w:val="00CA4A69"/>
    <w:rsid w:val="00CC3E0C"/>
    <w:rsid w:val="00CC58D3"/>
    <w:rsid w:val="00CC784D"/>
    <w:rsid w:val="00CD77D5"/>
    <w:rsid w:val="00D0337B"/>
    <w:rsid w:val="00D069DB"/>
    <w:rsid w:val="00D07777"/>
    <w:rsid w:val="00D079B2"/>
    <w:rsid w:val="00D114E9"/>
    <w:rsid w:val="00D17CD8"/>
    <w:rsid w:val="00D313B3"/>
    <w:rsid w:val="00D429C6"/>
    <w:rsid w:val="00D47748"/>
    <w:rsid w:val="00D54CC3"/>
    <w:rsid w:val="00D6041A"/>
    <w:rsid w:val="00D633EB"/>
    <w:rsid w:val="00D82FF7"/>
    <w:rsid w:val="00D847FE"/>
    <w:rsid w:val="00D86B9C"/>
    <w:rsid w:val="00D90A39"/>
    <w:rsid w:val="00D964EA"/>
    <w:rsid w:val="00D966D0"/>
    <w:rsid w:val="00D978C5"/>
    <w:rsid w:val="00DA0C59"/>
    <w:rsid w:val="00DA3991"/>
    <w:rsid w:val="00DA72A1"/>
    <w:rsid w:val="00DA7F95"/>
    <w:rsid w:val="00DB20F7"/>
    <w:rsid w:val="00DB7E6C"/>
    <w:rsid w:val="00DD252A"/>
    <w:rsid w:val="00DD5A29"/>
    <w:rsid w:val="00DD5D9D"/>
    <w:rsid w:val="00DE35CB"/>
    <w:rsid w:val="00DF0EF0"/>
    <w:rsid w:val="00DF21E9"/>
    <w:rsid w:val="00DF22C7"/>
    <w:rsid w:val="00DF61D4"/>
    <w:rsid w:val="00E00F14"/>
    <w:rsid w:val="00E06386"/>
    <w:rsid w:val="00E075C5"/>
    <w:rsid w:val="00E104D2"/>
    <w:rsid w:val="00E11668"/>
    <w:rsid w:val="00E122B7"/>
    <w:rsid w:val="00E24EB4"/>
    <w:rsid w:val="00E320ED"/>
    <w:rsid w:val="00E3295E"/>
    <w:rsid w:val="00E33AFB"/>
    <w:rsid w:val="00E34218"/>
    <w:rsid w:val="00E46282"/>
    <w:rsid w:val="00E5216E"/>
    <w:rsid w:val="00E657C6"/>
    <w:rsid w:val="00E82344"/>
    <w:rsid w:val="00E84C82"/>
    <w:rsid w:val="00E84D64"/>
    <w:rsid w:val="00E87408"/>
    <w:rsid w:val="00E914C4"/>
    <w:rsid w:val="00E934F5"/>
    <w:rsid w:val="00E96961"/>
    <w:rsid w:val="00EA72EC"/>
    <w:rsid w:val="00EB11CB"/>
    <w:rsid w:val="00EB1C71"/>
    <w:rsid w:val="00EB275A"/>
    <w:rsid w:val="00EB57CA"/>
    <w:rsid w:val="00EB786A"/>
    <w:rsid w:val="00EC1578"/>
    <w:rsid w:val="00EC1BFC"/>
    <w:rsid w:val="00EC1C72"/>
    <w:rsid w:val="00EC3CC9"/>
    <w:rsid w:val="00EC680A"/>
    <w:rsid w:val="00EE25CB"/>
    <w:rsid w:val="00EE2BED"/>
    <w:rsid w:val="00EE374B"/>
    <w:rsid w:val="00EF2869"/>
    <w:rsid w:val="00F11BB5"/>
    <w:rsid w:val="00F1417B"/>
    <w:rsid w:val="00F17A17"/>
    <w:rsid w:val="00F208A0"/>
    <w:rsid w:val="00F2115E"/>
    <w:rsid w:val="00F30ABD"/>
    <w:rsid w:val="00F315BF"/>
    <w:rsid w:val="00F34B99"/>
    <w:rsid w:val="00F410F4"/>
    <w:rsid w:val="00F51CF2"/>
    <w:rsid w:val="00F52DAB"/>
    <w:rsid w:val="00F543F0"/>
    <w:rsid w:val="00F55E3E"/>
    <w:rsid w:val="00F57601"/>
    <w:rsid w:val="00F70B70"/>
    <w:rsid w:val="00F73F99"/>
    <w:rsid w:val="00F74B6C"/>
    <w:rsid w:val="00F81D29"/>
    <w:rsid w:val="00F90BE5"/>
    <w:rsid w:val="00F91C4D"/>
    <w:rsid w:val="00F92000"/>
    <w:rsid w:val="00F92FD9"/>
    <w:rsid w:val="00FA5EF7"/>
    <w:rsid w:val="00FA6684"/>
    <w:rsid w:val="00FA731E"/>
    <w:rsid w:val="00FA7BD0"/>
    <w:rsid w:val="00FB1DCF"/>
    <w:rsid w:val="00FB2B38"/>
    <w:rsid w:val="00FC6358"/>
    <w:rsid w:val="00FD320D"/>
    <w:rsid w:val="00FE1B98"/>
    <w:rsid w:val="00FE23DE"/>
    <w:rsid w:val="01B666C0"/>
    <w:rsid w:val="02A76009"/>
    <w:rsid w:val="02AB78A7"/>
    <w:rsid w:val="02F0175E"/>
    <w:rsid w:val="04966335"/>
    <w:rsid w:val="050D2A9B"/>
    <w:rsid w:val="052E47BF"/>
    <w:rsid w:val="078B7CA7"/>
    <w:rsid w:val="07A70E0F"/>
    <w:rsid w:val="080812F8"/>
    <w:rsid w:val="08534C69"/>
    <w:rsid w:val="0A8C6210"/>
    <w:rsid w:val="0B7C0869"/>
    <w:rsid w:val="0CAF4438"/>
    <w:rsid w:val="0D1F336B"/>
    <w:rsid w:val="0ED32660"/>
    <w:rsid w:val="0F1D38DB"/>
    <w:rsid w:val="10137B06"/>
    <w:rsid w:val="128F3083"/>
    <w:rsid w:val="12B26A30"/>
    <w:rsid w:val="134A6C68"/>
    <w:rsid w:val="139E0D62"/>
    <w:rsid w:val="13FD3CDB"/>
    <w:rsid w:val="14A86ED5"/>
    <w:rsid w:val="14F0383F"/>
    <w:rsid w:val="15C745A0"/>
    <w:rsid w:val="15CB3E26"/>
    <w:rsid w:val="164B51D1"/>
    <w:rsid w:val="179A1F7A"/>
    <w:rsid w:val="19E27BFB"/>
    <w:rsid w:val="1B391A9C"/>
    <w:rsid w:val="1B495A57"/>
    <w:rsid w:val="1B99078D"/>
    <w:rsid w:val="1C964CCC"/>
    <w:rsid w:val="1D547061"/>
    <w:rsid w:val="210112AE"/>
    <w:rsid w:val="230A1F70"/>
    <w:rsid w:val="241A4435"/>
    <w:rsid w:val="244D480A"/>
    <w:rsid w:val="24B228BF"/>
    <w:rsid w:val="24D41FC3"/>
    <w:rsid w:val="24F10479"/>
    <w:rsid w:val="253F450B"/>
    <w:rsid w:val="26282E39"/>
    <w:rsid w:val="276500BD"/>
    <w:rsid w:val="283755B5"/>
    <w:rsid w:val="294C32E2"/>
    <w:rsid w:val="2AE9690F"/>
    <w:rsid w:val="2B711D54"/>
    <w:rsid w:val="2BD55811"/>
    <w:rsid w:val="2C884632"/>
    <w:rsid w:val="2CF27CFD"/>
    <w:rsid w:val="2EBA2A9C"/>
    <w:rsid w:val="3005243D"/>
    <w:rsid w:val="305D7B83"/>
    <w:rsid w:val="3163741B"/>
    <w:rsid w:val="32A221C5"/>
    <w:rsid w:val="33264BA4"/>
    <w:rsid w:val="36363350"/>
    <w:rsid w:val="36A75FFC"/>
    <w:rsid w:val="37826121"/>
    <w:rsid w:val="385B0E4C"/>
    <w:rsid w:val="38B13162"/>
    <w:rsid w:val="3A543DA5"/>
    <w:rsid w:val="3B4B57B2"/>
    <w:rsid w:val="3B6049CB"/>
    <w:rsid w:val="3CA628B2"/>
    <w:rsid w:val="3CED04E1"/>
    <w:rsid w:val="3E0E02DB"/>
    <w:rsid w:val="3E9C21BE"/>
    <w:rsid w:val="3FCC262F"/>
    <w:rsid w:val="3FCF2120"/>
    <w:rsid w:val="408F1FDB"/>
    <w:rsid w:val="414803DC"/>
    <w:rsid w:val="42670892"/>
    <w:rsid w:val="43633DC5"/>
    <w:rsid w:val="45525385"/>
    <w:rsid w:val="47486A40"/>
    <w:rsid w:val="4800206D"/>
    <w:rsid w:val="48205C0E"/>
    <w:rsid w:val="4AA06815"/>
    <w:rsid w:val="4AB10B14"/>
    <w:rsid w:val="4DD86643"/>
    <w:rsid w:val="4F2F6737"/>
    <w:rsid w:val="4F351F9F"/>
    <w:rsid w:val="4FE13ED5"/>
    <w:rsid w:val="50642410"/>
    <w:rsid w:val="50AA42C7"/>
    <w:rsid w:val="511B7645"/>
    <w:rsid w:val="51CC4711"/>
    <w:rsid w:val="559612BE"/>
    <w:rsid w:val="563034C0"/>
    <w:rsid w:val="569A3030"/>
    <w:rsid w:val="56CB4F97"/>
    <w:rsid w:val="585D4315"/>
    <w:rsid w:val="58C925CB"/>
    <w:rsid w:val="5A61633E"/>
    <w:rsid w:val="5B9938B6"/>
    <w:rsid w:val="5C69772C"/>
    <w:rsid w:val="5FA665A1"/>
    <w:rsid w:val="5FA840C8"/>
    <w:rsid w:val="61880654"/>
    <w:rsid w:val="61C96577"/>
    <w:rsid w:val="61DE2022"/>
    <w:rsid w:val="62614A02"/>
    <w:rsid w:val="63D95197"/>
    <w:rsid w:val="651B533C"/>
    <w:rsid w:val="65DC0F6F"/>
    <w:rsid w:val="65E41BD1"/>
    <w:rsid w:val="68C87588"/>
    <w:rsid w:val="69CE6E20"/>
    <w:rsid w:val="69ED31D0"/>
    <w:rsid w:val="6A7E3C4D"/>
    <w:rsid w:val="6A843983"/>
    <w:rsid w:val="71B2527A"/>
    <w:rsid w:val="71E05943"/>
    <w:rsid w:val="744321B9"/>
    <w:rsid w:val="755F1275"/>
    <w:rsid w:val="760F2C9B"/>
    <w:rsid w:val="763E0E8A"/>
    <w:rsid w:val="775A1CF3"/>
    <w:rsid w:val="791D122B"/>
    <w:rsid w:val="7A0D5743"/>
    <w:rsid w:val="7A65732D"/>
    <w:rsid w:val="7ADE2C3C"/>
    <w:rsid w:val="7B4707E1"/>
    <w:rsid w:val="7D284642"/>
    <w:rsid w:val="7D2B7798"/>
    <w:rsid w:val="7E486D4A"/>
    <w:rsid w:val="7F840255"/>
    <w:rsid w:val="BE75C9A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qFormat="1"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1">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2">
    <w:name w:val="toc 7"/>
    <w:basedOn w:val="1"/>
    <w:next w:val="1"/>
    <w:semiHidden/>
    <w:qFormat/>
    <w:uiPriority w:val="0"/>
    <w:pPr>
      <w:tabs>
        <w:tab w:val="right" w:leader="dot" w:pos="9241"/>
      </w:tabs>
      <w:ind w:firstLine="505" w:firstLineChars="500"/>
      <w:jc w:val="left"/>
    </w:pPr>
    <w:rPr>
      <w:rFonts w:ascii="宋体"/>
      <w:szCs w:val="21"/>
    </w:rPr>
  </w:style>
  <w:style w:type="paragraph" w:styleId="3">
    <w:name w:val="index 8"/>
    <w:basedOn w:val="1"/>
    <w:next w:val="1"/>
    <w:qFormat/>
    <w:uiPriority w:val="0"/>
    <w:pPr>
      <w:ind w:left="1680" w:hanging="210"/>
      <w:jc w:val="left"/>
    </w:pPr>
    <w:rPr>
      <w:rFonts w:ascii="Calibri" w:hAnsi="Calibri"/>
      <w:sz w:val="20"/>
      <w:szCs w:val="20"/>
    </w:rPr>
  </w:style>
  <w:style w:type="paragraph" w:styleId="4">
    <w:name w:val="caption"/>
    <w:basedOn w:val="1"/>
    <w:next w:val="1"/>
    <w:qFormat/>
    <w:uiPriority w:val="0"/>
    <w:pPr>
      <w:spacing w:before="152" w:after="160"/>
    </w:pPr>
    <w:rPr>
      <w:rFonts w:ascii="Arial" w:hAnsi="Arial" w:eastAsia="黑体" w:cs="Arial"/>
      <w:sz w:val="20"/>
      <w:szCs w:val="20"/>
    </w:rPr>
  </w:style>
  <w:style w:type="paragraph" w:styleId="5">
    <w:name w:val="index 5"/>
    <w:basedOn w:val="1"/>
    <w:next w:val="1"/>
    <w:qFormat/>
    <w:uiPriority w:val="0"/>
    <w:pPr>
      <w:ind w:left="1050" w:hanging="210"/>
      <w:jc w:val="left"/>
    </w:pPr>
    <w:rPr>
      <w:rFonts w:ascii="Calibri" w:hAnsi="Calibri"/>
      <w:sz w:val="20"/>
      <w:szCs w:val="20"/>
    </w:rPr>
  </w:style>
  <w:style w:type="paragraph" w:styleId="6">
    <w:name w:val="Document Map"/>
    <w:basedOn w:val="1"/>
    <w:semiHidden/>
    <w:qFormat/>
    <w:uiPriority w:val="0"/>
    <w:pPr>
      <w:shd w:val="clear" w:color="auto" w:fill="000080"/>
    </w:pPr>
  </w:style>
  <w:style w:type="paragraph" w:styleId="7">
    <w:name w:val="index 6"/>
    <w:basedOn w:val="1"/>
    <w:next w:val="1"/>
    <w:qFormat/>
    <w:uiPriority w:val="0"/>
    <w:pPr>
      <w:ind w:left="1260" w:hanging="210"/>
      <w:jc w:val="left"/>
    </w:pPr>
    <w:rPr>
      <w:rFonts w:ascii="Calibri" w:hAnsi="Calibri"/>
      <w:sz w:val="20"/>
      <w:szCs w:val="20"/>
    </w:rPr>
  </w:style>
  <w:style w:type="paragraph" w:styleId="8">
    <w:name w:val="index 4"/>
    <w:basedOn w:val="1"/>
    <w:next w:val="1"/>
    <w:qFormat/>
    <w:uiPriority w:val="0"/>
    <w:pPr>
      <w:ind w:left="840" w:hanging="210"/>
      <w:jc w:val="left"/>
    </w:pPr>
    <w:rPr>
      <w:rFonts w:ascii="Calibri" w:hAnsi="Calibri"/>
      <w:sz w:val="20"/>
      <w:szCs w:val="20"/>
    </w:rPr>
  </w:style>
  <w:style w:type="paragraph" w:styleId="9">
    <w:name w:val="toc 5"/>
    <w:basedOn w:val="1"/>
    <w:next w:val="1"/>
    <w:semiHidden/>
    <w:qFormat/>
    <w:uiPriority w:val="0"/>
    <w:pPr>
      <w:tabs>
        <w:tab w:val="right" w:leader="dot" w:pos="9241"/>
      </w:tabs>
      <w:ind w:firstLine="300" w:firstLineChars="300"/>
      <w:jc w:val="left"/>
    </w:pPr>
    <w:rPr>
      <w:rFonts w:ascii="宋体"/>
      <w:szCs w:val="21"/>
    </w:rPr>
  </w:style>
  <w:style w:type="paragraph" w:styleId="10">
    <w:name w:val="toc 3"/>
    <w:basedOn w:val="1"/>
    <w:next w:val="1"/>
    <w:semiHidden/>
    <w:qFormat/>
    <w:uiPriority w:val="0"/>
    <w:pPr>
      <w:tabs>
        <w:tab w:val="right" w:leader="dot" w:pos="9241"/>
      </w:tabs>
      <w:ind w:firstLine="102" w:firstLineChars="100"/>
      <w:jc w:val="left"/>
    </w:pPr>
    <w:rPr>
      <w:rFonts w:ascii="宋体"/>
      <w:szCs w:val="21"/>
    </w:rPr>
  </w:style>
  <w:style w:type="paragraph" w:styleId="11">
    <w:name w:val="toc 8"/>
    <w:basedOn w:val="1"/>
    <w:next w:val="1"/>
    <w:semiHidden/>
    <w:qFormat/>
    <w:uiPriority w:val="0"/>
    <w:pPr>
      <w:tabs>
        <w:tab w:val="right" w:leader="dot" w:pos="9241"/>
      </w:tabs>
      <w:ind w:firstLine="607" w:firstLineChars="600"/>
      <w:jc w:val="left"/>
    </w:pPr>
    <w:rPr>
      <w:rFonts w:ascii="宋体"/>
      <w:szCs w:val="21"/>
    </w:rPr>
  </w:style>
  <w:style w:type="paragraph" w:styleId="12">
    <w:name w:val="index 3"/>
    <w:basedOn w:val="1"/>
    <w:next w:val="1"/>
    <w:qFormat/>
    <w:uiPriority w:val="0"/>
    <w:pPr>
      <w:ind w:left="630" w:hanging="210"/>
      <w:jc w:val="left"/>
    </w:pPr>
    <w:rPr>
      <w:rFonts w:ascii="Calibri" w:hAnsi="Calibri"/>
      <w:sz w:val="20"/>
      <w:szCs w:val="20"/>
    </w:rPr>
  </w:style>
  <w:style w:type="paragraph" w:styleId="13">
    <w:name w:val="endnote text"/>
    <w:basedOn w:val="1"/>
    <w:semiHidden/>
    <w:qFormat/>
    <w:uiPriority w:val="0"/>
    <w:pPr>
      <w:snapToGrid w:val="0"/>
      <w:jc w:val="left"/>
    </w:pPr>
  </w:style>
  <w:style w:type="paragraph" w:styleId="14">
    <w:name w:val="footer"/>
    <w:basedOn w:val="1"/>
    <w:qFormat/>
    <w:uiPriority w:val="0"/>
    <w:pPr>
      <w:snapToGrid w:val="0"/>
      <w:ind w:right="210" w:rightChars="100"/>
      <w:jc w:val="right"/>
    </w:pPr>
    <w:rPr>
      <w:sz w:val="18"/>
      <w:szCs w:val="18"/>
    </w:rPr>
  </w:style>
  <w:style w:type="paragraph" w:styleId="15">
    <w:name w:val="header"/>
    <w:basedOn w:val="1"/>
    <w:qFormat/>
    <w:uiPriority w:val="0"/>
    <w:pPr>
      <w:snapToGrid w:val="0"/>
      <w:jc w:val="left"/>
    </w:pPr>
    <w:rPr>
      <w:sz w:val="18"/>
      <w:szCs w:val="18"/>
    </w:rPr>
  </w:style>
  <w:style w:type="paragraph" w:styleId="16">
    <w:name w:val="toc 1"/>
    <w:basedOn w:val="1"/>
    <w:next w:val="1"/>
    <w:qFormat/>
    <w:uiPriority w:val="39"/>
    <w:pPr>
      <w:tabs>
        <w:tab w:val="right" w:leader="dot" w:pos="9241"/>
      </w:tabs>
      <w:spacing w:beforeLines="25" w:afterLines="25"/>
      <w:jc w:val="left"/>
    </w:pPr>
    <w:rPr>
      <w:rFonts w:ascii="宋体"/>
      <w:szCs w:val="21"/>
    </w:rPr>
  </w:style>
  <w:style w:type="paragraph" w:styleId="17">
    <w:name w:val="toc 4"/>
    <w:basedOn w:val="1"/>
    <w:next w:val="1"/>
    <w:semiHidden/>
    <w:qFormat/>
    <w:uiPriority w:val="0"/>
    <w:pPr>
      <w:tabs>
        <w:tab w:val="right" w:leader="dot" w:pos="9241"/>
      </w:tabs>
      <w:ind w:firstLine="198" w:firstLineChars="200"/>
      <w:jc w:val="left"/>
    </w:pPr>
    <w:rPr>
      <w:rFonts w:ascii="宋体"/>
      <w:szCs w:val="21"/>
    </w:rPr>
  </w:style>
  <w:style w:type="paragraph" w:styleId="18">
    <w:name w:val="index heading"/>
    <w:basedOn w:val="1"/>
    <w:next w:val="19"/>
    <w:qFormat/>
    <w:uiPriority w:val="0"/>
    <w:pPr>
      <w:spacing w:before="120" w:after="120"/>
      <w:jc w:val="center"/>
    </w:pPr>
    <w:rPr>
      <w:rFonts w:ascii="Calibri" w:hAnsi="Calibri"/>
      <w:b/>
      <w:bCs/>
      <w:iCs/>
      <w:szCs w:val="20"/>
    </w:rPr>
  </w:style>
  <w:style w:type="paragraph" w:styleId="19">
    <w:name w:val="index 1"/>
    <w:basedOn w:val="1"/>
    <w:next w:val="20"/>
    <w:qFormat/>
    <w:uiPriority w:val="0"/>
    <w:pPr>
      <w:tabs>
        <w:tab w:val="right" w:leader="dot" w:pos="9299"/>
      </w:tabs>
      <w:jc w:val="left"/>
    </w:pPr>
    <w:rPr>
      <w:rFonts w:ascii="宋体"/>
      <w:szCs w:val="21"/>
    </w:rPr>
  </w:style>
  <w:style w:type="paragraph" w:customStyle="1" w:styleId="20">
    <w:name w:val="段"/>
    <w:link w:val="38"/>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1">
    <w:name w:val="footnote text"/>
    <w:basedOn w:val="1"/>
    <w:qFormat/>
    <w:uiPriority w:val="0"/>
    <w:pPr>
      <w:numPr>
        <w:ilvl w:val="0"/>
        <w:numId w:val="1"/>
      </w:numPr>
      <w:snapToGrid w:val="0"/>
      <w:jc w:val="left"/>
    </w:pPr>
    <w:rPr>
      <w:rFonts w:ascii="宋体"/>
      <w:sz w:val="18"/>
      <w:szCs w:val="18"/>
    </w:rPr>
  </w:style>
  <w:style w:type="paragraph" w:styleId="22">
    <w:name w:val="toc 6"/>
    <w:basedOn w:val="1"/>
    <w:next w:val="1"/>
    <w:semiHidden/>
    <w:qFormat/>
    <w:uiPriority w:val="0"/>
    <w:pPr>
      <w:tabs>
        <w:tab w:val="right" w:leader="dot" w:pos="9241"/>
      </w:tabs>
      <w:ind w:firstLine="403" w:firstLineChars="400"/>
      <w:jc w:val="left"/>
    </w:pPr>
    <w:rPr>
      <w:rFonts w:ascii="宋体"/>
      <w:szCs w:val="21"/>
    </w:rPr>
  </w:style>
  <w:style w:type="paragraph" w:styleId="23">
    <w:name w:val="index 7"/>
    <w:basedOn w:val="1"/>
    <w:next w:val="1"/>
    <w:qFormat/>
    <w:uiPriority w:val="0"/>
    <w:pPr>
      <w:ind w:left="1470" w:hanging="210"/>
      <w:jc w:val="left"/>
    </w:pPr>
    <w:rPr>
      <w:rFonts w:ascii="Calibri" w:hAnsi="Calibri"/>
      <w:sz w:val="20"/>
      <w:szCs w:val="20"/>
    </w:rPr>
  </w:style>
  <w:style w:type="paragraph" w:styleId="24">
    <w:name w:val="index 9"/>
    <w:basedOn w:val="1"/>
    <w:next w:val="1"/>
    <w:qFormat/>
    <w:uiPriority w:val="0"/>
    <w:pPr>
      <w:ind w:left="1890" w:hanging="210"/>
      <w:jc w:val="left"/>
    </w:pPr>
    <w:rPr>
      <w:rFonts w:ascii="Calibri" w:hAnsi="Calibri"/>
      <w:sz w:val="20"/>
      <w:szCs w:val="20"/>
    </w:rPr>
  </w:style>
  <w:style w:type="paragraph" w:styleId="25">
    <w:name w:val="toc 2"/>
    <w:basedOn w:val="1"/>
    <w:next w:val="1"/>
    <w:semiHidden/>
    <w:qFormat/>
    <w:uiPriority w:val="0"/>
    <w:pPr>
      <w:tabs>
        <w:tab w:val="right" w:leader="dot" w:pos="9241"/>
      </w:tabs>
    </w:pPr>
    <w:rPr>
      <w:rFonts w:ascii="宋体"/>
      <w:szCs w:val="21"/>
    </w:rPr>
  </w:style>
  <w:style w:type="paragraph" w:styleId="26">
    <w:name w:val="toc 9"/>
    <w:basedOn w:val="1"/>
    <w:next w:val="1"/>
    <w:semiHidden/>
    <w:qFormat/>
    <w:uiPriority w:val="0"/>
    <w:pPr>
      <w:ind w:left="1470"/>
      <w:jc w:val="left"/>
    </w:pPr>
    <w:rPr>
      <w:sz w:val="20"/>
      <w:szCs w:val="20"/>
    </w:rPr>
  </w:style>
  <w:style w:type="paragraph" w:styleId="27">
    <w:name w:val="index 2"/>
    <w:basedOn w:val="1"/>
    <w:next w:val="1"/>
    <w:qFormat/>
    <w:uiPriority w:val="0"/>
    <w:pPr>
      <w:ind w:left="420" w:hanging="210"/>
      <w:jc w:val="left"/>
    </w:pPr>
    <w:rPr>
      <w:rFonts w:ascii="Calibri" w:hAnsi="Calibri"/>
      <w:sz w:val="20"/>
      <w:szCs w:val="20"/>
    </w:rPr>
  </w:style>
  <w:style w:type="table" w:styleId="29">
    <w:name w:val="Table Grid"/>
    <w:basedOn w:val="28"/>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styleId="30">
    <w:name w:val="Table Grid 5"/>
    <w:basedOn w:val="28"/>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character" w:styleId="32">
    <w:name w:val="endnote reference"/>
    <w:basedOn w:val="31"/>
    <w:semiHidden/>
    <w:qFormat/>
    <w:uiPriority w:val="0"/>
    <w:rPr>
      <w:vertAlign w:val="superscript"/>
    </w:rPr>
  </w:style>
  <w:style w:type="character" w:styleId="33">
    <w:name w:val="page number"/>
    <w:basedOn w:val="31"/>
    <w:qFormat/>
    <w:uiPriority w:val="0"/>
    <w:rPr>
      <w:rFonts w:ascii="Times New Roman" w:hAnsi="Times New Roman" w:eastAsia="宋体"/>
      <w:sz w:val="18"/>
    </w:rPr>
  </w:style>
  <w:style w:type="character" w:styleId="34">
    <w:name w:val="FollowedHyperlink"/>
    <w:basedOn w:val="31"/>
    <w:qFormat/>
    <w:uiPriority w:val="0"/>
    <w:rPr>
      <w:color w:val="800080"/>
      <w:u w:val="single"/>
    </w:rPr>
  </w:style>
  <w:style w:type="character" w:styleId="35">
    <w:name w:val="Hyperlink"/>
    <w:basedOn w:val="31"/>
    <w:qFormat/>
    <w:uiPriority w:val="99"/>
    <w:rPr>
      <w:color w:val="0000FF"/>
      <w:spacing w:val="0"/>
      <w:w w:val="100"/>
      <w:szCs w:val="21"/>
      <w:u w:val="single"/>
    </w:rPr>
  </w:style>
  <w:style w:type="character" w:styleId="36">
    <w:name w:val="footnote reference"/>
    <w:basedOn w:val="31"/>
    <w:semiHidden/>
    <w:qFormat/>
    <w:uiPriority w:val="0"/>
    <w:rPr>
      <w:vertAlign w:val="superscript"/>
    </w:rPr>
  </w:style>
  <w:style w:type="paragraph" w:customStyle="1" w:styleId="37">
    <w:name w:val="default paragraph font Char"/>
    <w:basedOn w:val="1"/>
    <w:qFormat/>
    <w:uiPriority w:val="0"/>
    <w:pPr>
      <w:spacing w:line="240" w:lineRule="atLeast"/>
      <w:ind w:left="420" w:firstLine="420"/>
    </w:pPr>
  </w:style>
  <w:style w:type="character" w:customStyle="1" w:styleId="38">
    <w:name w:val="段 Char"/>
    <w:basedOn w:val="31"/>
    <w:link w:val="20"/>
    <w:qFormat/>
    <w:uiPriority w:val="0"/>
    <w:rPr>
      <w:rFonts w:ascii="宋体"/>
      <w:sz w:val="21"/>
      <w:lang w:val="en-US" w:eastAsia="zh-CN" w:bidi="ar-SA"/>
    </w:rPr>
  </w:style>
  <w:style w:type="paragraph" w:customStyle="1" w:styleId="39">
    <w:name w:val="一级条标题"/>
    <w:next w:val="20"/>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40">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1">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2">
    <w:name w:val="章标题"/>
    <w:next w:val="20"/>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43">
    <w:name w:val="二级条标题"/>
    <w:basedOn w:val="39"/>
    <w:next w:val="20"/>
    <w:qFormat/>
    <w:uiPriority w:val="0"/>
    <w:pPr>
      <w:numPr>
        <w:ilvl w:val="2"/>
      </w:numPr>
      <w:spacing w:before="50" w:after="50"/>
      <w:outlineLvl w:val="3"/>
    </w:pPr>
  </w:style>
  <w:style w:type="paragraph" w:customStyle="1" w:styleId="44">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45">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46">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47">
    <w:name w:val="目次、标准名称标题"/>
    <w:basedOn w:val="1"/>
    <w:next w:val="20"/>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48">
    <w:name w:val="三级条标题"/>
    <w:basedOn w:val="43"/>
    <w:next w:val="20"/>
    <w:qFormat/>
    <w:uiPriority w:val="0"/>
    <w:pPr>
      <w:numPr>
        <w:ilvl w:val="3"/>
      </w:numPr>
      <w:outlineLvl w:val="4"/>
    </w:pPr>
  </w:style>
  <w:style w:type="paragraph" w:customStyle="1" w:styleId="49">
    <w:name w:val="示例"/>
    <w:next w:val="50"/>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50">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51">
    <w:name w:val="数字编号列项（二级）"/>
    <w:qFormat/>
    <w:uiPriority w:val="0"/>
    <w:pPr>
      <w:numPr>
        <w:ilvl w:val="1"/>
        <w:numId w:val="5"/>
      </w:numPr>
      <w:jc w:val="both"/>
    </w:pPr>
    <w:rPr>
      <w:rFonts w:ascii="宋体" w:hAnsi="Times New Roman" w:eastAsia="宋体" w:cs="Times New Roman"/>
      <w:sz w:val="21"/>
      <w:lang w:val="en-US" w:eastAsia="zh-CN" w:bidi="ar-SA"/>
    </w:rPr>
  </w:style>
  <w:style w:type="paragraph" w:customStyle="1" w:styleId="52">
    <w:name w:val="四级条标题"/>
    <w:basedOn w:val="48"/>
    <w:next w:val="20"/>
    <w:qFormat/>
    <w:uiPriority w:val="0"/>
    <w:pPr>
      <w:numPr>
        <w:ilvl w:val="4"/>
      </w:numPr>
      <w:outlineLvl w:val="5"/>
    </w:pPr>
  </w:style>
  <w:style w:type="paragraph" w:customStyle="1" w:styleId="53">
    <w:name w:val="五级条标题"/>
    <w:basedOn w:val="52"/>
    <w:next w:val="20"/>
    <w:qFormat/>
    <w:uiPriority w:val="0"/>
    <w:pPr>
      <w:numPr>
        <w:ilvl w:val="5"/>
      </w:numPr>
      <w:outlineLvl w:val="6"/>
    </w:pPr>
  </w:style>
  <w:style w:type="paragraph" w:customStyle="1" w:styleId="54">
    <w:name w:val="注："/>
    <w:next w:val="20"/>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55">
    <w:name w:val="注×："/>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56">
    <w:name w:val="字母编号列项（一级）"/>
    <w:qFormat/>
    <w:uiPriority w:val="0"/>
    <w:pPr>
      <w:numPr>
        <w:ilvl w:val="0"/>
        <w:numId w:val="5"/>
      </w:numPr>
      <w:jc w:val="both"/>
    </w:pPr>
    <w:rPr>
      <w:rFonts w:ascii="宋体" w:hAnsi="Times New Roman" w:eastAsia="宋体" w:cs="Times New Roman"/>
      <w:sz w:val="21"/>
      <w:lang w:val="en-US" w:eastAsia="zh-CN" w:bidi="ar-SA"/>
    </w:rPr>
  </w:style>
  <w:style w:type="paragraph" w:customStyle="1" w:styleId="57">
    <w:name w:val="列项◆（三级）"/>
    <w:basedOn w:val="1"/>
    <w:qFormat/>
    <w:uiPriority w:val="0"/>
    <w:pPr>
      <w:numPr>
        <w:ilvl w:val="2"/>
        <w:numId w:val="3"/>
      </w:numPr>
    </w:pPr>
    <w:rPr>
      <w:rFonts w:ascii="宋体"/>
      <w:szCs w:val="21"/>
    </w:rPr>
  </w:style>
  <w:style w:type="paragraph" w:customStyle="1" w:styleId="58">
    <w:name w:val="编号列项（三级）"/>
    <w:qFormat/>
    <w:uiPriority w:val="0"/>
    <w:pPr>
      <w:numPr>
        <w:ilvl w:val="2"/>
        <w:numId w:val="5"/>
      </w:numPr>
    </w:pPr>
    <w:rPr>
      <w:rFonts w:ascii="宋体" w:hAnsi="Times New Roman" w:eastAsia="宋体" w:cs="Times New Roman"/>
      <w:sz w:val="21"/>
      <w:lang w:val="en-US" w:eastAsia="zh-CN" w:bidi="ar-SA"/>
    </w:rPr>
  </w:style>
  <w:style w:type="paragraph" w:customStyle="1" w:styleId="59">
    <w:name w:val="示例×："/>
    <w:basedOn w:val="42"/>
    <w:qFormat/>
    <w:uiPriority w:val="0"/>
    <w:pPr>
      <w:numPr>
        <w:numId w:val="8"/>
      </w:numPr>
      <w:spacing w:beforeLines="0" w:afterLines="0"/>
      <w:outlineLvl w:val="9"/>
    </w:pPr>
    <w:rPr>
      <w:rFonts w:ascii="宋体" w:eastAsia="宋体"/>
      <w:sz w:val="18"/>
      <w:szCs w:val="18"/>
    </w:rPr>
  </w:style>
  <w:style w:type="paragraph" w:customStyle="1" w:styleId="60">
    <w:name w:val="二级无"/>
    <w:basedOn w:val="43"/>
    <w:qFormat/>
    <w:uiPriority w:val="0"/>
    <w:pPr>
      <w:spacing w:beforeLines="0" w:afterLines="0"/>
    </w:pPr>
    <w:rPr>
      <w:rFonts w:ascii="宋体" w:eastAsia="宋体"/>
    </w:rPr>
  </w:style>
  <w:style w:type="paragraph" w:customStyle="1" w:styleId="61">
    <w:name w:val="注：（正文）"/>
    <w:basedOn w:val="54"/>
    <w:next w:val="20"/>
    <w:qFormat/>
    <w:uiPriority w:val="0"/>
  </w:style>
  <w:style w:type="paragraph" w:customStyle="1" w:styleId="62">
    <w:name w:val="注×：（正文）"/>
    <w:qFormat/>
    <w:uiPriority w:val="0"/>
    <w:pPr>
      <w:numPr>
        <w:ilvl w:val="0"/>
        <w:numId w:val="9"/>
      </w:numPr>
      <w:jc w:val="both"/>
    </w:pPr>
    <w:rPr>
      <w:rFonts w:ascii="宋体" w:hAnsi="Times New Roman" w:eastAsia="宋体" w:cs="Times New Roman"/>
      <w:sz w:val="18"/>
      <w:szCs w:val="18"/>
      <w:lang w:val="en-US" w:eastAsia="zh-CN" w:bidi="ar-SA"/>
    </w:rPr>
  </w:style>
  <w:style w:type="paragraph" w:customStyle="1" w:styleId="63">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64">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65">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66">
    <w:name w:val="标准书眉_偶数页"/>
    <w:basedOn w:val="41"/>
    <w:next w:val="1"/>
    <w:qFormat/>
    <w:uiPriority w:val="0"/>
    <w:pPr>
      <w:jc w:val="left"/>
    </w:pPr>
  </w:style>
  <w:style w:type="paragraph" w:customStyle="1" w:styleId="67">
    <w:name w:val="标准书眉一"/>
    <w:qFormat/>
    <w:uiPriority w:val="0"/>
    <w:pPr>
      <w:jc w:val="both"/>
    </w:pPr>
    <w:rPr>
      <w:rFonts w:ascii="Times New Roman" w:hAnsi="Times New Roman" w:eastAsia="宋体" w:cs="Times New Roman"/>
      <w:lang w:val="en-US" w:eastAsia="zh-CN" w:bidi="ar-SA"/>
    </w:rPr>
  </w:style>
  <w:style w:type="paragraph" w:customStyle="1" w:styleId="68">
    <w:name w:val="参考文献"/>
    <w:basedOn w:val="1"/>
    <w:next w:val="20"/>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69">
    <w:name w:val="参考文献、索引标题"/>
    <w:basedOn w:val="1"/>
    <w:next w:val="20"/>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70">
    <w:name w:val="发布"/>
    <w:basedOn w:val="31"/>
    <w:qFormat/>
    <w:uiPriority w:val="0"/>
    <w:rPr>
      <w:rFonts w:ascii="黑体" w:eastAsia="黑体"/>
      <w:spacing w:val="85"/>
      <w:w w:val="100"/>
      <w:position w:val="3"/>
      <w:sz w:val="28"/>
      <w:szCs w:val="28"/>
    </w:rPr>
  </w:style>
  <w:style w:type="paragraph" w:customStyle="1" w:styleId="71">
    <w:name w:val="发布部门"/>
    <w:next w:val="20"/>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72">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73">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74">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75">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76">
    <w:name w:val="封面标准英文名称"/>
    <w:basedOn w:val="75"/>
    <w:qFormat/>
    <w:uiPriority w:val="0"/>
    <w:pPr>
      <w:framePr/>
      <w:spacing w:before="370" w:line="400" w:lineRule="exact"/>
    </w:pPr>
    <w:rPr>
      <w:rFonts w:ascii="Times New Roman"/>
      <w:sz w:val="28"/>
      <w:szCs w:val="28"/>
    </w:rPr>
  </w:style>
  <w:style w:type="paragraph" w:customStyle="1" w:styleId="77">
    <w:name w:val="封面一致性程度标识"/>
    <w:basedOn w:val="76"/>
    <w:qFormat/>
    <w:uiPriority w:val="0"/>
    <w:pPr>
      <w:framePr/>
      <w:spacing w:before="440"/>
    </w:pPr>
    <w:rPr>
      <w:rFonts w:ascii="宋体" w:eastAsia="宋体"/>
    </w:rPr>
  </w:style>
  <w:style w:type="paragraph" w:customStyle="1" w:styleId="78">
    <w:name w:val="封面标准文稿类别"/>
    <w:basedOn w:val="77"/>
    <w:qFormat/>
    <w:uiPriority w:val="0"/>
    <w:pPr>
      <w:framePr/>
      <w:spacing w:after="160" w:line="240" w:lineRule="auto"/>
    </w:pPr>
    <w:rPr>
      <w:sz w:val="24"/>
    </w:rPr>
  </w:style>
  <w:style w:type="paragraph" w:customStyle="1" w:styleId="79">
    <w:name w:val="封面标准文稿编辑信息"/>
    <w:basedOn w:val="78"/>
    <w:qFormat/>
    <w:uiPriority w:val="0"/>
    <w:pPr>
      <w:framePr/>
      <w:spacing w:before="180" w:line="180" w:lineRule="exact"/>
    </w:pPr>
    <w:rPr>
      <w:sz w:val="21"/>
    </w:rPr>
  </w:style>
  <w:style w:type="paragraph" w:customStyle="1" w:styleId="80">
    <w:name w:val="封面正文"/>
    <w:qFormat/>
    <w:uiPriority w:val="0"/>
    <w:pPr>
      <w:jc w:val="both"/>
    </w:pPr>
    <w:rPr>
      <w:rFonts w:ascii="Times New Roman" w:hAnsi="Times New Roman" w:eastAsia="宋体" w:cs="Times New Roman"/>
      <w:lang w:val="en-US" w:eastAsia="zh-CN" w:bidi="ar-SA"/>
    </w:rPr>
  </w:style>
  <w:style w:type="paragraph" w:customStyle="1" w:styleId="81">
    <w:name w:val="附录标识"/>
    <w:basedOn w:val="1"/>
    <w:next w:val="20"/>
    <w:qFormat/>
    <w:uiPriority w:val="0"/>
    <w:pPr>
      <w:keepNext/>
      <w:widowControl/>
      <w:numPr>
        <w:ilvl w:val="0"/>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82">
    <w:name w:val="附录标题"/>
    <w:basedOn w:val="20"/>
    <w:next w:val="20"/>
    <w:qFormat/>
    <w:uiPriority w:val="0"/>
    <w:pPr>
      <w:ind w:firstLine="0" w:firstLineChars="0"/>
      <w:jc w:val="center"/>
    </w:pPr>
    <w:rPr>
      <w:rFonts w:ascii="黑体" w:eastAsia="黑体"/>
    </w:rPr>
  </w:style>
  <w:style w:type="paragraph" w:customStyle="1" w:styleId="83">
    <w:name w:val="附录表标号"/>
    <w:basedOn w:val="1"/>
    <w:next w:val="20"/>
    <w:qFormat/>
    <w:uiPriority w:val="0"/>
    <w:pPr>
      <w:numPr>
        <w:ilvl w:val="0"/>
        <w:numId w:val="11"/>
      </w:numPr>
      <w:tabs>
        <w:tab w:val="clear" w:pos="0"/>
      </w:tabs>
      <w:spacing w:line="14" w:lineRule="exact"/>
      <w:ind w:left="811" w:hanging="448"/>
      <w:jc w:val="center"/>
      <w:outlineLvl w:val="0"/>
    </w:pPr>
    <w:rPr>
      <w:color w:val="FFFFFF"/>
    </w:rPr>
  </w:style>
  <w:style w:type="paragraph" w:customStyle="1" w:styleId="84">
    <w:name w:val="附录表标题"/>
    <w:basedOn w:val="1"/>
    <w:next w:val="20"/>
    <w:qFormat/>
    <w:uiPriority w:val="0"/>
    <w:pPr>
      <w:numPr>
        <w:ilvl w:val="1"/>
        <w:numId w:val="11"/>
      </w:numPr>
      <w:tabs>
        <w:tab w:val="left" w:pos="180"/>
      </w:tabs>
      <w:spacing w:beforeLines="50" w:afterLines="50"/>
      <w:ind w:left="0" w:firstLine="0"/>
      <w:jc w:val="center"/>
    </w:pPr>
    <w:rPr>
      <w:rFonts w:ascii="黑体" w:eastAsia="黑体"/>
      <w:szCs w:val="21"/>
    </w:rPr>
  </w:style>
  <w:style w:type="paragraph" w:customStyle="1" w:styleId="85">
    <w:name w:val="附录二级条标题"/>
    <w:basedOn w:val="1"/>
    <w:next w:val="20"/>
    <w:qFormat/>
    <w:uiPriority w:val="0"/>
    <w:pPr>
      <w:widowControl/>
      <w:numPr>
        <w:ilvl w:val="3"/>
        <w:numId w:val="10"/>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86">
    <w:name w:val="附录二级无"/>
    <w:basedOn w:val="85"/>
    <w:qFormat/>
    <w:uiPriority w:val="0"/>
    <w:pPr>
      <w:tabs>
        <w:tab w:val="clear" w:pos="360"/>
      </w:tabs>
      <w:spacing w:beforeLines="0" w:afterLines="0"/>
    </w:pPr>
    <w:rPr>
      <w:rFonts w:ascii="宋体" w:eastAsia="宋体"/>
      <w:szCs w:val="21"/>
    </w:rPr>
  </w:style>
  <w:style w:type="paragraph" w:customStyle="1" w:styleId="87">
    <w:name w:val="附录公式"/>
    <w:basedOn w:val="20"/>
    <w:next w:val="20"/>
    <w:link w:val="88"/>
    <w:qFormat/>
    <w:uiPriority w:val="0"/>
  </w:style>
  <w:style w:type="character" w:customStyle="1" w:styleId="88">
    <w:name w:val="附录公式 Char"/>
    <w:basedOn w:val="38"/>
    <w:link w:val="87"/>
    <w:qFormat/>
    <w:uiPriority w:val="0"/>
  </w:style>
  <w:style w:type="paragraph" w:customStyle="1" w:styleId="89">
    <w:name w:val="附录公式编号制表符"/>
    <w:basedOn w:val="1"/>
    <w:next w:val="20"/>
    <w:qFormat/>
    <w:uiPriority w:val="0"/>
    <w:pPr>
      <w:widowControl/>
      <w:tabs>
        <w:tab w:val="center" w:pos="4201"/>
        <w:tab w:val="right" w:leader="dot" w:pos="9298"/>
      </w:tabs>
      <w:autoSpaceDE w:val="0"/>
      <w:autoSpaceDN w:val="0"/>
    </w:pPr>
    <w:rPr>
      <w:rFonts w:ascii="宋体"/>
      <w:kern w:val="0"/>
      <w:szCs w:val="20"/>
    </w:rPr>
  </w:style>
  <w:style w:type="paragraph" w:customStyle="1" w:styleId="90">
    <w:name w:val="附录三级条标题"/>
    <w:basedOn w:val="85"/>
    <w:next w:val="20"/>
    <w:qFormat/>
    <w:uiPriority w:val="0"/>
    <w:pPr>
      <w:numPr>
        <w:ilvl w:val="4"/>
      </w:numPr>
      <w:outlineLvl w:val="4"/>
    </w:pPr>
  </w:style>
  <w:style w:type="paragraph" w:customStyle="1" w:styleId="91">
    <w:name w:val="附录三级无"/>
    <w:basedOn w:val="90"/>
    <w:qFormat/>
    <w:uiPriority w:val="0"/>
    <w:pPr>
      <w:tabs>
        <w:tab w:val="clear" w:pos="360"/>
      </w:tabs>
      <w:spacing w:beforeLines="0" w:afterLines="0"/>
    </w:pPr>
    <w:rPr>
      <w:rFonts w:ascii="宋体" w:eastAsia="宋体"/>
      <w:szCs w:val="21"/>
    </w:rPr>
  </w:style>
  <w:style w:type="paragraph" w:customStyle="1" w:styleId="92">
    <w:name w:val="附录数字编号列项（二级）"/>
    <w:qFormat/>
    <w:uiPriority w:val="0"/>
    <w:pPr>
      <w:numPr>
        <w:ilvl w:val="1"/>
        <w:numId w:val="12"/>
      </w:numPr>
    </w:pPr>
    <w:rPr>
      <w:rFonts w:ascii="宋体" w:hAnsi="Times New Roman" w:eastAsia="宋体" w:cs="Times New Roman"/>
      <w:sz w:val="21"/>
      <w:lang w:val="en-US" w:eastAsia="zh-CN" w:bidi="ar-SA"/>
    </w:rPr>
  </w:style>
  <w:style w:type="paragraph" w:customStyle="1" w:styleId="93">
    <w:name w:val="附录四级条标题"/>
    <w:basedOn w:val="90"/>
    <w:next w:val="20"/>
    <w:qFormat/>
    <w:uiPriority w:val="0"/>
    <w:pPr>
      <w:numPr>
        <w:ilvl w:val="5"/>
      </w:numPr>
      <w:outlineLvl w:val="5"/>
    </w:pPr>
  </w:style>
  <w:style w:type="paragraph" w:customStyle="1" w:styleId="94">
    <w:name w:val="附录四级无"/>
    <w:basedOn w:val="93"/>
    <w:qFormat/>
    <w:uiPriority w:val="0"/>
    <w:pPr>
      <w:tabs>
        <w:tab w:val="clear" w:pos="360"/>
      </w:tabs>
      <w:spacing w:beforeLines="0" w:afterLines="0"/>
    </w:pPr>
    <w:rPr>
      <w:rFonts w:ascii="宋体" w:eastAsia="宋体"/>
      <w:szCs w:val="21"/>
    </w:rPr>
  </w:style>
  <w:style w:type="paragraph" w:customStyle="1" w:styleId="95">
    <w:name w:val="附录图标号"/>
    <w:basedOn w:val="1"/>
    <w:qFormat/>
    <w:uiPriority w:val="0"/>
    <w:pPr>
      <w:keepNext/>
      <w:pageBreakBefore/>
      <w:widowControl/>
      <w:numPr>
        <w:ilvl w:val="0"/>
        <w:numId w:val="13"/>
      </w:numPr>
      <w:spacing w:line="14" w:lineRule="exact"/>
      <w:ind w:left="0" w:firstLine="363"/>
      <w:jc w:val="center"/>
      <w:outlineLvl w:val="0"/>
    </w:pPr>
    <w:rPr>
      <w:color w:val="FFFFFF"/>
    </w:rPr>
  </w:style>
  <w:style w:type="paragraph" w:customStyle="1" w:styleId="96">
    <w:name w:val="附录图标题"/>
    <w:basedOn w:val="1"/>
    <w:next w:val="20"/>
    <w:qFormat/>
    <w:uiPriority w:val="0"/>
    <w:pPr>
      <w:numPr>
        <w:ilvl w:val="1"/>
        <w:numId w:val="13"/>
      </w:numPr>
      <w:tabs>
        <w:tab w:val="left" w:pos="363"/>
      </w:tabs>
      <w:spacing w:beforeLines="50" w:afterLines="50"/>
      <w:ind w:left="0" w:firstLine="0"/>
      <w:jc w:val="center"/>
    </w:pPr>
    <w:rPr>
      <w:rFonts w:ascii="黑体" w:eastAsia="黑体"/>
      <w:szCs w:val="21"/>
    </w:rPr>
  </w:style>
  <w:style w:type="paragraph" w:customStyle="1" w:styleId="97">
    <w:name w:val="附录五级条标题"/>
    <w:basedOn w:val="93"/>
    <w:next w:val="20"/>
    <w:qFormat/>
    <w:uiPriority w:val="0"/>
    <w:pPr>
      <w:numPr>
        <w:ilvl w:val="6"/>
      </w:numPr>
      <w:outlineLvl w:val="6"/>
    </w:pPr>
  </w:style>
  <w:style w:type="paragraph" w:customStyle="1" w:styleId="98">
    <w:name w:val="附录五级无"/>
    <w:basedOn w:val="97"/>
    <w:qFormat/>
    <w:uiPriority w:val="0"/>
    <w:pPr>
      <w:tabs>
        <w:tab w:val="clear" w:pos="360"/>
      </w:tabs>
      <w:spacing w:beforeLines="0" w:afterLines="0"/>
    </w:pPr>
    <w:rPr>
      <w:rFonts w:ascii="宋体" w:eastAsia="宋体"/>
      <w:szCs w:val="21"/>
    </w:rPr>
  </w:style>
  <w:style w:type="paragraph" w:customStyle="1" w:styleId="99">
    <w:name w:val="附录章标题"/>
    <w:next w:val="20"/>
    <w:qFormat/>
    <w:uiPriority w:val="0"/>
    <w:pPr>
      <w:numPr>
        <w:ilvl w:val="1"/>
        <w:numId w:val="10"/>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00">
    <w:name w:val="附录一级条标题"/>
    <w:basedOn w:val="99"/>
    <w:next w:val="20"/>
    <w:qFormat/>
    <w:uiPriority w:val="0"/>
    <w:pPr>
      <w:numPr>
        <w:ilvl w:val="2"/>
      </w:numPr>
      <w:autoSpaceDN w:val="0"/>
      <w:spacing w:beforeLines="50" w:afterLines="50"/>
      <w:outlineLvl w:val="2"/>
    </w:pPr>
  </w:style>
  <w:style w:type="paragraph" w:customStyle="1" w:styleId="101">
    <w:name w:val="附录一级无"/>
    <w:basedOn w:val="100"/>
    <w:qFormat/>
    <w:uiPriority w:val="0"/>
    <w:pPr>
      <w:tabs>
        <w:tab w:val="clear" w:pos="360"/>
      </w:tabs>
      <w:spacing w:beforeLines="0" w:afterLines="0"/>
    </w:pPr>
    <w:rPr>
      <w:rFonts w:ascii="宋体" w:eastAsia="宋体"/>
      <w:szCs w:val="21"/>
    </w:rPr>
  </w:style>
  <w:style w:type="paragraph" w:customStyle="1" w:styleId="102">
    <w:name w:val="附录字母编号列项（一级）"/>
    <w:qFormat/>
    <w:uiPriority w:val="0"/>
    <w:pPr>
      <w:numPr>
        <w:ilvl w:val="0"/>
        <w:numId w:val="12"/>
      </w:numPr>
    </w:pPr>
    <w:rPr>
      <w:rFonts w:ascii="宋体" w:hAnsi="Times New Roman" w:eastAsia="宋体" w:cs="Times New Roman"/>
      <w:sz w:val="21"/>
      <w:lang w:val="en-US" w:eastAsia="zh-CN" w:bidi="ar-SA"/>
    </w:rPr>
  </w:style>
  <w:style w:type="paragraph" w:customStyle="1" w:styleId="103">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04">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05">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06">
    <w:name w:val="其他标准标志"/>
    <w:basedOn w:val="63"/>
    <w:qFormat/>
    <w:uiPriority w:val="0"/>
    <w:pPr>
      <w:framePr w:w="6101" w:vAnchor="page" w:hAnchor="page" w:x="4673" w:y="942"/>
    </w:pPr>
    <w:rPr>
      <w:w w:val="130"/>
    </w:rPr>
  </w:style>
  <w:style w:type="paragraph" w:customStyle="1" w:styleId="107">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08">
    <w:name w:val="其他发布部门"/>
    <w:basedOn w:val="71"/>
    <w:qFormat/>
    <w:uiPriority w:val="0"/>
    <w:pPr>
      <w:framePr w:y="15310"/>
      <w:spacing w:line="0" w:lineRule="atLeast"/>
    </w:pPr>
    <w:rPr>
      <w:rFonts w:ascii="黑体" w:eastAsia="黑体"/>
      <w:b w:val="0"/>
    </w:rPr>
  </w:style>
  <w:style w:type="paragraph" w:customStyle="1" w:styleId="109">
    <w:name w:val="前言、引言标题"/>
    <w:next w:val="20"/>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0">
    <w:name w:val="三级无"/>
    <w:basedOn w:val="48"/>
    <w:qFormat/>
    <w:uiPriority w:val="0"/>
    <w:pPr>
      <w:spacing w:beforeLines="0" w:afterLines="0"/>
    </w:pPr>
    <w:rPr>
      <w:rFonts w:ascii="宋体" w:eastAsia="宋体"/>
    </w:rPr>
  </w:style>
  <w:style w:type="paragraph" w:customStyle="1" w:styleId="111">
    <w:name w:val="实施日期"/>
    <w:basedOn w:val="72"/>
    <w:qFormat/>
    <w:uiPriority w:val="0"/>
    <w:pPr>
      <w:framePr w:vAnchor="page"/>
      <w:jc w:val="right"/>
    </w:pPr>
  </w:style>
  <w:style w:type="paragraph" w:customStyle="1" w:styleId="112">
    <w:name w:val="示例后文字"/>
    <w:basedOn w:val="20"/>
    <w:next w:val="20"/>
    <w:qFormat/>
    <w:uiPriority w:val="0"/>
    <w:pPr>
      <w:ind w:firstLine="360"/>
    </w:pPr>
    <w:rPr>
      <w:sz w:val="18"/>
    </w:rPr>
  </w:style>
  <w:style w:type="paragraph" w:customStyle="1" w:styleId="113">
    <w:name w:val="首示例"/>
    <w:next w:val="20"/>
    <w:link w:val="114"/>
    <w:qFormat/>
    <w:uiPriority w:val="0"/>
    <w:pPr>
      <w:numPr>
        <w:ilvl w:val="0"/>
        <w:numId w:val="14"/>
      </w:numPr>
      <w:tabs>
        <w:tab w:val="left" w:pos="360"/>
      </w:tabs>
      <w:ind w:firstLine="0"/>
    </w:pPr>
    <w:rPr>
      <w:rFonts w:ascii="宋体" w:hAnsi="宋体" w:eastAsia="宋体" w:cs="Times New Roman"/>
      <w:kern w:val="2"/>
      <w:sz w:val="18"/>
      <w:szCs w:val="18"/>
      <w:lang w:val="en-US" w:eastAsia="zh-CN" w:bidi="ar-SA"/>
    </w:rPr>
  </w:style>
  <w:style w:type="character" w:customStyle="1" w:styleId="114">
    <w:name w:val="首示例 Char"/>
    <w:basedOn w:val="31"/>
    <w:link w:val="113"/>
    <w:qFormat/>
    <w:uiPriority w:val="0"/>
    <w:rPr>
      <w:rFonts w:ascii="宋体" w:hAnsi="宋体"/>
      <w:kern w:val="2"/>
      <w:sz w:val="18"/>
      <w:szCs w:val="18"/>
      <w:lang w:val="en-US" w:eastAsia="zh-CN" w:bidi="ar-SA"/>
    </w:rPr>
  </w:style>
  <w:style w:type="paragraph" w:customStyle="1" w:styleId="115">
    <w:name w:val="四级无"/>
    <w:basedOn w:val="52"/>
    <w:qFormat/>
    <w:uiPriority w:val="0"/>
    <w:pPr>
      <w:spacing w:beforeLines="0" w:afterLines="0"/>
    </w:pPr>
    <w:rPr>
      <w:rFonts w:ascii="宋体" w:eastAsia="宋体"/>
    </w:rPr>
  </w:style>
  <w:style w:type="paragraph" w:customStyle="1" w:styleId="116">
    <w:name w:val="条文脚注"/>
    <w:basedOn w:val="21"/>
    <w:qFormat/>
    <w:uiPriority w:val="0"/>
    <w:pPr>
      <w:numPr>
        <w:numId w:val="0"/>
      </w:numPr>
      <w:tabs>
        <w:tab w:val="clear" w:pos="0"/>
      </w:tabs>
      <w:jc w:val="both"/>
    </w:pPr>
  </w:style>
  <w:style w:type="paragraph" w:customStyle="1" w:styleId="117">
    <w:name w:val="图标脚注说明"/>
    <w:basedOn w:val="20"/>
    <w:qFormat/>
    <w:uiPriority w:val="0"/>
    <w:pPr>
      <w:ind w:left="840" w:hanging="420" w:firstLineChars="0"/>
    </w:pPr>
    <w:rPr>
      <w:sz w:val="18"/>
      <w:szCs w:val="18"/>
    </w:rPr>
  </w:style>
  <w:style w:type="paragraph" w:customStyle="1" w:styleId="118">
    <w:name w:val="图表脚注说明"/>
    <w:basedOn w:val="1"/>
    <w:qFormat/>
    <w:uiPriority w:val="0"/>
    <w:pPr>
      <w:numPr>
        <w:ilvl w:val="0"/>
        <w:numId w:val="15"/>
      </w:numPr>
    </w:pPr>
    <w:rPr>
      <w:rFonts w:ascii="宋体"/>
      <w:sz w:val="18"/>
      <w:szCs w:val="18"/>
    </w:rPr>
  </w:style>
  <w:style w:type="paragraph" w:customStyle="1" w:styleId="119">
    <w:name w:val="图的脚注"/>
    <w:next w:val="20"/>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20">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1">
    <w:name w:val="五级无"/>
    <w:basedOn w:val="53"/>
    <w:qFormat/>
    <w:uiPriority w:val="0"/>
    <w:pPr>
      <w:spacing w:beforeLines="0" w:afterLines="0"/>
    </w:pPr>
    <w:rPr>
      <w:rFonts w:ascii="宋体" w:eastAsia="宋体"/>
    </w:rPr>
  </w:style>
  <w:style w:type="paragraph" w:customStyle="1" w:styleId="122">
    <w:name w:val="一级无"/>
    <w:basedOn w:val="39"/>
    <w:qFormat/>
    <w:uiPriority w:val="0"/>
    <w:pPr>
      <w:spacing w:beforeLines="0" w:afterLines="0"/>
    </w:pPr>
    <w:rPr>
      <w:rFonts w:ascii="宋体" w:eastAsia="宋体"/>
    </w:rPr>
  </w:style>
  <w:style w:type="paragraph" w:customStyle="1" w:styleId="123">
    <w:name w:val="正文表标题"/>
    <w:next w:val="20"/>
    <w:qFormat/>
    <w:uiPriority w:val="0"/>
    <w:pPr>
      <w:numPr>
        <w:ilvl w:val="0"/>
        <w:numId w:val="16"/>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24">
    <w:name w:val="正文公式编号制表符"/>
    <w:basedOn w:val="20"/>
    <w:next w:val="20"/>
    <w:qFormat/>
    <w:uiPriority w:val="0"/>
    <w:pPr>
      <w:ind w:firstLine="0" w:firstLineChars="0"/>
    </w:pPr>
  </w:style>
  <w:style w:type="paragraph" w:customStyle="1" w:styleId="125">
    <w:name w:val="正文图标题"/>
    <w:next w:val="20"/>
    <w:qFormat/>
    <w:uiPriority w:val="0"/>
    <w:pPr>
      <w:numPr>
        <w:ilvl w:val="0"/>
        <w:numId w:val="17"/>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26">
    <w:name w:val="终结线"/>
    <w:basedOn w:val="1"/>
    <w:qFormat/>
    <w:uiPriority w:val="0"/>
    <w:pPr>
      <w:framePr w:hSpace="181" w:vSpace="181" w:wrap="around" w:vAnchor="text" w:hAnchor="margin" w:xAlign="center" w:y="285"/>
    </w:pPr>
  </w:style>
  <w:style w:type="paragraph" w:customStyle="1" w:styleId="127">
    <w:name w:val="其他发布日期"/>
    <w:basedOn w:val="72"/>
    <w:qFormat/>
    <w:uiPriority w:val="0"/>
    <w:pPr>
      <w:framePr w:vAnchor="page" w:x="1419"/>
    </w:pPr>
  </w:style>
  <w:style w:type="paragraph" w:customStyle="1" w:styleId="128">
    <w:name w:val="其他实施日期"/>
    <w:basedOn w:val="111"/>
    <w:qFormat/>
    <w:uiPriority w:val="0"/>
    <w:pPr>
      <w:framePr/>
    </w:pPr>
  </w:style>
  <w:style w:type="paragraph" w:customStyle="1" w:styleId="129">
    <w:name w:val="封面标准名称2"/>
    <w:basedOn w:val="75"/>
    <w:qFormat/>
    <w:uiPriority w:val="0"/>
    <w:pPr>
      <w:framePr w:y="4469"/>
      <w:spacing w:beforeLines="630"/>
    </w:pPr>
  </w:style>
  <w:style w:type="paragraph" w:customStyle="1" w:styleId="130">
    <w:name w:val="封面标准英文名称2"/>
    <w:basedOn w:val="76"/>
    <w:qFormat/>
    <w:uiPriority w:val="0"/>
    <w:pPr>
      <w:framePr w:y="4469"/>
    </w:pPr>
  </w:style>
  <w:style w:type="paragraph" w:customStyle="1" w:styleId="131">
    <w:name w:val="封面一致性程度标识2"/>
    <w:basedOn w:val="77"/>
    <w:qFormat/>
    <w:uiPriority w:val="0"/>
    <w:pPr>
      <w:framePr w:y="4469"/>
    </w:pPr>
  </w:style>
  <w:style w:type="paragraph" w:customStyle="1" w:styleId="132">
    <w:name w:val="封面标准文稿类别2"/>
    <w:basedOn w:val="78"/>
    <w:qFormat/>
    <w:uiPriority w:val="0"/>
    <w:pPr>
      <w:framePr w:y="4469"/>
    </w:pPr>
  </w:style>
  <w:style w:type="paragraph" w:customStyle="1" w:styleId="133">
    <w:name w:val="封面标准文稿编辑信息2"/>
    <w:basedOn w:val="79"/>
    <w:qFormat/>
    <w:uiPriority w:val="0"/>
    <w:pPr>
      <w:framePr w:y="446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baixin/C:\Users\Administrator\Nutstore\1\&#35770;&#25991;&#25893;&#20889;\&#26685;&#22521;\&#19987;&#21033;&#30003;&#35831;\2024&#24180;&#26631;&#20934;&#20462;&#35746;\2024&#24180;&#26631;&#20934;&#20462;&#35746;\&#26524;&#21697;&#32452;+&#29980;&#27185;&#26691;&#29983;&#20135;&#26685;&#22521;&#25216;&#26415;&#35268;&#31243;&#65288;&#25991;&#26412;&#65289;.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果品组+甜樱桃生产栽培技术规程（文本）</Template>
  <Pages>12</Pages>
  <Words>5038</Words>
  <Characters>5439</Characters>
  <Lines>43</Lines>
  <Paragraphs>12</Paragraphs>
  <TotalTime>0</TotalTime>
  <ScaleCrop>false</ScaleCrop>
  <LinksUpToDate>false</LinksUpToDate>
  <CharactersWithSpaces>5941</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2024-01-21T11:06:00Z</dcterms:created>
  <dc:creator>为众</dc:creator>
  <cp:lastModifiedBy>baixin</cp:lastModifiedBy>
  <dcterms:modified xsi:type="dcterms:W3CDTF">2024-11-06T17:18:14Z</dcterms:modified>
  <dc:title>标准名称</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5BD8085593A442A39D144B42B590FAFD_11</vt:lpwstr>
  </property>
</Properties>
</file>